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00"/>
      </w:tblGrid>
      <w:tr w:rsidR="00BC33F5" w:rsidRPr="00BC33F5" w14:paraId="4B885E6B" w14:textId="77777777">
        <w:trPr>
          <w:jc w:val="center"/>
        </w:trPr>
        <w:tc>
          <w:tcPr>
            <w:tcW w:w="0" w:type="auto"/>
            <w:shd w:val="clear" w:color="auto" w:fill="FFFFFF"/>
            <w:vAlign w:val="center"/>
          </w:tcPr>
          <w:tbl>
            <w:tblPr>
              <w:tblW w:w="5000" w:type="pct"/>
              <w:jc w:val="center"/>
              <w:tblCellMar>
                <w:left w:w="0" w:type="dxa"/>
                <w:right w:w="0" w:type="dxa"/>
              </w:tblCellMar>
              <w:tblLook w:val="04A0" w:firstRow="1" w:lastRow="0" w:firstColumn="1" w:lastColumn="0" w:noHBand="0" w:noVBand="1"/>
            </w:tblPr>
            <w:tblGrid>
              <w:gridCol w:w="9000"/>
            </w:tblGrid>
            <w:tr w:rsidR="00BC33F5" w:rsidRPr="00BC33F5" w14:paraId="0824449C" w14:textId="77777777">
              <w:trPr>
                <w:jc w:val="center"/>
              </w:trPr>
              <w:tc>
                <w:tcPr>
                  <w:tcW w:w="0" w:type="auto"/>
                  <w:vAlign w:val="center"/>
                  <w:hideMark/>
                </w:tcPr>
                <w:p w14:paraId="348C5EF9" w14:textId="77777777" w:rsidR="00BC33F5" w:rsidRPr="00BC33F5" w:rsidRDefault="00BC33F5" w:rsidP="00BC33F5">
                  <w:pPr>
                    <w:spacing w:after="0" w:line="15" w:lineRule="exact"/>
                    <w:rPr>
                      <w:rFonts w:ascii="Arial" w:eastAsia="Aptos" w:hAnsi="Arial" w:cs="Arial"/>
                      <w:color w:val="000000"/>
                      <w:kern w:val="0"/>
                      <w:sz w:val="21"/>
                      <w:szCs w:val="21"/>
                      <w:lang w:eastAsia="it-IT"/>
                      <w14:ligatures w14:val="none"/>
                    </w:rPr>
                  </w:pPr>
                  <w:r w:rsidRPr="00BC33F5">
                    <w:rPr>
                      <w:rFonts w:ascii="Arial" w:eastAsia="Aptos" w:hAnsi="Arial" w:cs="Arial"/>
                      <w:color w:val="000000"/>
                      <w:kern w:val="0"/>
                      <w:sz w:val="21"/>
                      <w:szCs w:val="21"/>
                      <w:lang w:eastAsia="it-IT"/>
                      <w14:ligatures w14:val="none"/>
                    </w:rPr>
                    <w:t> </w:t>
                  </w:r>
                </w:p>
              </w:tc>
            </w:tr>
            <w:tr w:rsidR="00BC33F5" w:rsidRPr="00BC33F5" w14:paraId="5314821F"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BC33F5" w:rsidRPr="00BC33F5" w14:paraId="72EFE138" w14:textId="77777777">
                    <w:trPr>
                      <w:jc w:val="center"/>
                    </w:trPr>
                    <w:tc>
                      <w:tcPr>
                        <w:tcW w:w="87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BC33F5" w:rsidRPr="00BC33F5" w14:paraId="767E205C" w14:textId="77777777">
                          <w:trPr>
                            <w:tblCellSpacing w:w="0" w:type="dxa"/>
                          </w:trPr>
                          <w:tc>
                            <w:tcPr>
                              <w:tcW w:w="0" w:type="auto"/>
                              <w:tcMar>
                                <w:top w:w="150" w:type="dxa"/>
                                <w:left w:w="150" w:type="dxa"/>
                                <w:bottom w:w="150" w:type="dxa"/>
                                <w:right w:w="150" w:type="dxa"/>
                              </w:tcMar>
                            </w:tcPr>
                            <w:p w14:paraId="42BFD7C6" w14:textId="77777777" w:rsidR="00BC33F5" w:rsidRPr="00BC33F5" w:rsidRDefault="00BC33F5" w:rsidP="00BC33F5">
                              <w:pPr>
                                <w:shd w:val="clear" w:color="auto" w:fill="FFFFFF"/>
                                <w:spacing w:after="0" w:line="240" w:lineRule="auto"/>
                                <w:jc w:val="center"/>
                                <w:outlineLvl w:val="0"/>
                                <w:rPr>
                                  <w:rFonts w:ascii="Arial" w:eastAsia="Times New Roman" w:hAnsi="Arial" w:cs="Arial"/>
                                  <w:color w:val="000000"/>
                                  <w:kern w:val="36"/>
                                  <w:sz w:val="21"/>
                                  <w:szCs w:val="21"/>
                                  <w:lang w:eastAsia="it-IT"/>
                                  <w14:ligatures w14:val="none"/>
                                </w:rPr>
                              </w:pPr>
                              <w:r w:rsidRPr="00BC33F5">
                                <w:rPr>
                                  <w:rFonts w:ascii="Arial" w:eastAsia="Times New Roman" w:hAnsi="Arial" w:cs="Arial"/>
                                  <w:b/>
                                  <w:bCs/>
                                  <w:color w:val="222222"/>
                                  <w:kern w:val="36"/>
                                  <w:sz w:val="39"/>
                                  <w:szCs w:val="39"/>
                                  <w:lang w:eastAsia="it-IT"/>
                                  <w14:ligatures w14:val="none"/>
                                </w:rPr>
                                <w:t>Condizioni contrattuali FIDIC e opportunità di apertura ai mercati esteri</w:t>
                              </w:r>
                            </w:p>
                            <w:p w14:paraId="54C5AF01" w14:textId="77777777" w:rsidR="00BC33F5" w:rsidRPr="00BC33F5" w:rsidRDefault="00BC33F5" w:rsidP="00BC33F5">
                              <w:pPr>
                                <w:shd w:val="clear" w:color="auto" w:fill="FFFFFF"/>
                                <w:spacing w:before="100" w:beforeAutospacing="1" w:after="240" w:line="240" w:lineRule="auto"/>
                                <w:jc w:val="center"/>
                                <w:rPr>
                                  <w:rFonts w:ascii="Aptos" w:eastAsia="Aptos" w:hAnsi="Aptos" w:cs="Aptos"/>
                                  <w:kern w:val="0"/>
                                  <w:lang w:eastAsia="it-IT"/>
                                  <w14:ligatures w14:val="none"/>
                                </w:rPr>
                              </w:pPr>
                            </w:p>
                            <w:p w14:paraId="3ED79EAB" w14:textId="77777777" w:rsidR="00BC33F5" w:rsidRPr="00BC33F5" w:rsidRDefault="00BC33F5" w:rsidP="00BC33F5">
                              <w:pPr>
                                <w:shd w:val="clear" w:color="auto" w:fill="FFFFFF"/>
                                <w:spacing w:before="100" w:beforeAutospacing="1" w:after="100" w:afterAutospacing="1" w:line="240" w:lineRule="auto"/>
                                <w:jc w:val="center"/>
                                <w:rPr>
                                  <w:rFonts w:ascii="Aptos" w:eastAsia="Aptos" w:hAnsi="Aptos" w:cs="Aptos"/>
                                  <w:kern w:val="0"/>
                                  <w:lang w:eastAsia="it-IT"/>
                                  <w14:ligatures w14:val="none"/>
                                </w:rPr>
                              </w:pPr>
                              <w:r w:rsidRPr="00BC33F5">
                                <w:rPr>
                                  <w:rFonts w:ascii="Aptos" w:eastAsia="Aptos" w:hAnsi="Aptos" w:cs="Aptos"/>
                                  <w:i/>
                                  <w:iCs/>
                                  <w:color w:val="222222"/>
                                  <w:kern w:val="0"/>
                                  <w:sz w:val="27"/>
                                  <w:szCs w:val="27"/>
                                  <w:bdr w:val="none" w:sz="0" w:space="0" w:color="auto" w:frame="1"/>
                                  <w:lang w:eastAsia="it-IT"/>
                                  <w14:ligatures w14:val="none"/>
                                </w:rPr>
                                <w:t>La conoscenza dei contratti FIDIC quale competenza fondamentale per le imprese attive nella gestione di progetti internazionali</w:t>
                              </w:r>
                            </w:p>
                            <w:p w14:paraId="70EECFC6" w14:textId="77777777" w:rsidR="00BC33F5" w:rsidRPr="00BC33F5" w:rsidRDefault="00BC33F5" w:rsidP="00BC33F5">
                              <w:pPr>
                                <w:shd w:val="clear" w:color="auto" w:fill="FFFFFF"/>
                                <w:spacing w:before="100" w:beforeAutospacing="1" w:after="240" w:line="240" w:lineRule="auto"/>
                                <w:rPr>
                                  <w:rFonts w:ascii="Aptos" w:eastAsia="Aptos" w:hAnsi="Aptos" w:cs="Aptos"/>
                                  <w:kern w:val="0"/>
                                  <w:lang w:eastAsia="it-IT"/>
                                  <w14:ligatures w14:val="none"/>
                                </w:rPr>
                              </w:pPr>
                            </w:p>
                            <w:p w14:paraId="14A5CDFA" w14:textId="77777777" w:rsidR="00BC33F5" w:rsidRPr="00BC33F5" w:rsidRDefault="00BC33F5" w:rsidP="00BC33F5">
                              <w:pPr>
                                <w:shd w:val="clear" w:color="auto" w:fill="FFFFFF"/>
                                <w:spacing w:before="100" w:beforeAutospacing="1" w:after="240" w:line="240" w:lineRule="auto"/>
                                <w:rPr>
                                  <w:rFonts w:ascii="Aptos" w:eastAsia="Aptos" w:hAnsi="Aptos" w:cs="Aptos"/>
                                  <w:kern w:val="0"/>
                                  <w:lang w:eastAsia="it-IT"/>
                                  <w14:ligatures w14:val="none"/>
                                </w:rPr>
                              </w:pPr>
                            </w:p>
                            <w:p w14:paraId="37DBAACA" w14:textId="77777777" w:rsidR="00BC33F5" w:rsidRPr="00BC33F5" w:rsidRDefault="00BC33F5" w:rsidP="00BC33F5">
                              <w:pPr>
                                <w:spacing w:before="100" w:beforeAutospacing="1" w:after="100" w:afterAutospacing="1" w:line="240" w:lineRule="auto"/>
                                <w:jc w:val="both"/>
                                <w:rPr>
                                  <w:rFonts w:ascii="Aptos" w:eastAsia="Aptos" w:hAnsi="Aptos" w:cs="Aptos"/>
                                  <w:kern w:val="0"/>
                                  <w:lang w:eastAsia="it-IT"/>
                                  <w14:ligatures w14:val="none"/>
                                </w:rPr>
                              </w:pPr>
                              <w:r w:rsidRPr="00BC33F5">
                                <w:rPr>
                                  <w:rFonts w:ascii="Aptos" w:eastAsia="Aptos" w:hAnsi="Aptos" w:cs="Aptos"/>
                                  <w:kern w:val="0"/>
                                  <w:lang w:eastAsia="it-IT"/>
                                  <w14:ligatures w14:val="none"/>
                                </w:rPr>
                                <w:t>Agenzia ICE ti invita al webinar</w:t>
                              </w:r>
                              <w:r w:rsidRPr="00BC33F5">
                                <w:rPr>
                                  <w:rFonts w:ascii="Aptos" w:eastAsia="Aptos" w:hAnsi="Aptos" w:cs="Aptos"/>
                                  <w:b/>
                                  <w:bCs/>
                                  <w:kern w:val="0"/>
                                  <w:lang w:eastAsia="it-IT"/>
                                  <w14:ligatures w14:val="none"/>
                                </w:rPr>
                                <w:t> “Condizioni contrattuali FIDIC e opportunità di apertura ai mercati esteri”,</w:t>
                              </w:r>
                              <w:r w:rsidRPr="00BC33F5">
                                <w:rPr>
                                  <w:rFonts w:ascii="Aptos" w:eastAsia="Aptos" w:hAnsi="Aptos" w:cs="Aptos"/>
                                  <w:kern w:val="0"/>
                                  <w:lang w:eastAsia="it-IT"/>
                                  <w14:ligatures w14:val="none"/>
                                </w:rPr>
                                <w:t xml:space="preserve"> un ciclo di </w:t>
                              </w:r>
                              <w:r w:rsidRPr="00BC33F5">
                                <w:rPr>
                                  <w:rFonts w:ascii="Aptos" w:eastAsia="Aptos" w:hAnsi="Aptos" w:cs="Aptos"/>
                                  <w:b/>
                                  <w:bCs/>
                                  <w:kern w:val="0"/>
                                  <w:lang w:eastAsia="it-IT"/>
                                  <w14:ligatures w14:val="none"/>
                                </w:rPr>
                                <w:t>tre incontri</w:t>
                              </w:r>
                              <w:r w:rsidRPr="00BC33F5">
                                <w:rPr>
                                  <w:rFonts w:ascii="Aptos" w:eastAsia="Aptos" w:hAnsi="Aptos" w:cs="Aptos"/>
                                  <w:kern w:val="0"/>
                                  <w:lang w:eastAsia="it-IT"/>
                                  <w14:ligatures w14:val="none"/>
                                </w:rPr>
                                <w:t xml:space="preserve"> della durata di </w:t>
                              </w:r>
                              <w:r w:rsidRPr="00BC33F5">
                                <w:rPr>
                                  <w:rFonts w:ascii="Aptos" w:eastAsia="Aptos" w:hAnsi="Aptos" w:cs="Aptos"/>
                                  <w:b/>
                                  <w:bCs/>
                                  <w:kern w:val="0"/>
                                  <w:lang w:eastAsia="it-IT"/>
                                  <w14:ligatures w14:val="none"/>
                                </w:rPr>
                                <w:t>tre ore ciascuno</w:t>
                              </w:r>
                              <w:r w:rsidRPr="00BC33F5">
                                <w:rPr>
                                  <w:rFonts w:ascii="Aptos" w:eastAsia="Aptos" w:hAnsi="Aptos" w:cs="Aptos"/>
                                  <w:kern w:val="0"/>
                                  <w:lang w:eastAsia="it-IT"/>
                                  <w14:ligatures w14:val="none"/>
                                </w:rPr>
                                <w:t>, pensato per offrire alle aziende italiane un’introduzione ai corsi tenuti in presenza dalla FIDIC (</w:t>
                              </w:r>
                              <w:proofErr w:type="spellStart"/>
                              <w:r w:rsidRPr="00BC33F5">
                                <w:rPr>
                                  <w:rFonts w:ascii="Aptos" w:eastAsia="Aptos" w:hAnsi="Aptos" w:cs="Aptos"/>
                                  <w:kern w:val="0"/>
                                  <w:lang w:eastAsia="it-IT"/>
                                  <w14:ligatures w14:val="none"/>
                                </w:rPr>
                                <w:t>Fédération</w:t>
                              </w:r>
                              <w:proofErr w:type="spellEnd"/>
                              <w:r w:rsidRPr="00BC33F5">
                                <w:rPr>
                                  <w:rFonts w:ascii="Aptos" w:eastAsia="Aptos" w:hAnsi="Aptos" w:cs="Aptos"/>
                                  <w:kern w:val="0"/>
                                  <w:lang w:eastAsia="it-IT"/>
                                  <w14:ligatures w14:val="none"/>
                                </w:rPr>
                                <w:t xml:space="preserve"> </w:t>
                              </w:r>
                              <w:proofErr w:type="spellStart"/>
                              <w:r w:rsidRPr="00BC33F5">
                                <w:rPr>
                                  <w:rFonts w:ascii="Aptos" w:eastAsia="Aptos" w:hAnsi="Aptos" w:cs="Aptos"/>
                                  <w:kern w:val="0"/>
                                  <w:lang w:eastAsia="it-IT"/>
                                  <w14:ligatures w14:val="none"/>
                                </w:rPr>
                                <w:t>Internationale</w:t>
                              </w:r>
                              <w:proofErr w:type="spellEnd"/>
                              <w:r w:rsidRPr="00BC33F5">
                                <w:rPr>
                                  <w:rFonts w:ascii="Aptos" w:eastAsia="Aptos" w:hAnsi="Aptos" w:cs="Aptos"/>
                                  <w:kern w:val="0"/>
                                  <w:lang w:eastAsia="it-IT"/>
                                  <w14:ligatures w14:val="none"/>
                                </w:rPr>
                                <w:t xml:space="preserve"> </w:t>
                              </w:r>
                              <w:proofErr w:type="spellStart"/>
                              <w:r w:rsidRPr="00BC33F5">
                                <w:rPr>
                                  <w:rFonts w:ascii="Aptos" w:eastAsia="Aptos" w:hAnsi="Aptos" w:cs="Aptos"/>
                                  <w:kern w:val="0"/>
                                  <w:lang w:eastAsia="it-IT"/>
                                  <w14:ligatures w14:val="none"/>
                                </w:rPr>
                                <w:t>des</w:t>
                              </w:r>
                              <w:proofErr w:type="spellEnd"/>
                              <w:r w:rsidRPr="00BC33F5">
                                <w:rPr>
                                  <w:rFonts w:ascii="Aptos" w:eastAsia="Aptos" w:hAnsi="Aptos" w:cs="Aptos"/>
                                  <w:kern w:val="0"/>
                                  <w:lang w:eastAsia="it-IT"/>
                                  <w14:ligatures w14:val="none"/>
                                </w:rPr>
                                <w:t xml:space="preserve"> </w:t>
                              </w:r>
                              <w:proofErr w:type="spellStart"/>
                              <w:r w:rsidRPr="00BC33F5">
                                <w:rPr>
                                  <w:rFonts w:ascii="Aptos" w:eastAsia="Aptos" w:hAnsi="Aptos" w:cs="Aptos"/>
                                  <w:kern w:val="0"/>
                                  <w:lang w:eastAsia="it-IT"/>
                                  <w14:ligatures w14:val="none"/>
                                </w:rPr>
                                <w:t>Ingénierurs-Conseils</w:t>
                              </w:r>
                              <w:proofErr w:type="spellEnd"/>
                              <w:r w:rsidRPr="00BC33F5">
                                <w:rPr>
                                  <w:rFonts w:ascii="Aptos" w:eastAsia="Aptos" w:hAnsi="Aptos" w:cs="Aptos"/>
                                  <w:kern w:val="0"/>
                                  <w:lang w:eastAsia="it-IT"/>
                                  <w14:ligatures w14:val="none"/>
                                </w:rPr>
                                <w:t>) sui vari tipi di condizioni contrattuali da essa nel tempo elaborati e destinati a regolare i rapporti di appalto internazionale.</w:t>
                              </w:r>
                            </w:p>
                            <w:p w14:paraId="0133DF5A" w14:textId="77777777" w:rsidR="00BC33F5" w:rsidRPr="00BC33F5" w:rsidRDefault="00BC33F5" w:rsidP="00BC33F5">
                              <w:pPr>
                                <w:spacing w:before="100" w:beforeAutospacing="1" w:after="100" w:afterAutospacing="1" w:line="240" w:lineRule="auto"/>
                                <w:jc w:val="both"/>
                                <w:rPr>
                                  <w:rFonts w:ascii="Aptos" w:eastAsia="Aptos" w:hAnsi="Aptos" w:cs="Aptos"/>
                                  <w:kern w:val="0"/>
                                  <w:lang w:eastAsia="it-IT"/>
                                  <w14:ligatures w14:val="none"/>
                                </w:rPr>
                              </w:pPr>
                            </w:p>
                            <w:p w14:paraId="3E0C3C9D" w14:textId="77777777" w:rsidR="00BC33F5" w:rsidRPr="00BC33F5" w:rsidRDefault="00BC33F5" w:rsidP="00BC33F5">
                              <w:pPr>
                                <w:spacing w:before="100" w:beforeAutospacing="1" w:after="100" w:afterAutospacing="1" w:line="240" w:lineRule="auto"/>
                                <w:jc w:val="both"/>
                                <w:rPr>
                                  <w:rFonts w:ascii="Aptos" w:eastAsia="Aptos" w:hAnsi="Aptos" w:cs="Aptos"/>
                                  <w:kern w:val="0"/>
                                  <w:lang w:eastAsia="it-IT"/>
                                  <w14:ligatures w14:val="none"/>
                                </w:rPr>
                              </w:pPr>
                              <w:r w:rsidRPr="00BC33F5">
                                <w:rPr>
                                  <w:rFonts w:ascii="Roboto" w:eastAsia="Aptos" w:hAnsi="Roboto" w:cs="Aptos"/>
                                  <w:b/>
                                  <w:bCs/>
                                  <w:color w:val="1F1F1F"/>
                                  <w:kern w:val="0"/>
                                  <w:bdr w:val="none" w:sz="0" w:space="0" w:color="auto" w:frame="1"/>
                                  <w:shd w:val="clear" w:color="auto" w:fill="FFFFFF"/>
                                  <w:lang w:eastAsia="it-IT"/>
                                  <w14:ligatures w14:val="none"/>
                                </w:rPr>
                                <w:t>N.B.: </w:t>
                              </w:r>
                              <w:proofErr w:type="gramStart"/>
                              <w:r w:rsidRPr="00BC33F5">
                                <w:rPr>
                                  <w:rFonts w:ascii="Roboto" w:eastAsia="Aptos" w:hAnsi="Roboto" w:cs="Aptos"/>
                                  <w:color w:val="1F1F1F"/>
                                  <w:kern w:val="0"/>
                                  <w:lang w:eastAsia="it-IT"/>
                                  <w14:ligatures w14:val="none"/>
                                </w:rPr>
                                <w:t>E’</w:t>
                              </w:r>
                              <w:proofErr w:type="gramEnd"/>
                              <w:r w:rsidRPr="00BC33F5">
                                <w:rPr>
                                  <w:rFonts w:ascii="Roboto" w:eastAsia="Aptos" w:hAnsi="Roboto" w:cs="Aptos"/>
                                  <w:color w:val="1F1F1F"/>
                                  <w:kern w:val="0"/>
                                  <w:lang w:eastAsia="it-IT"/>
                                  <w14:ligatures w14:val="none"/>
                                </w:rPr>
                                <w:t xml:space="preserve"> possibile partecipare a tutti e tre i webinar o ad uno soltanto. La non partecipazione ad uno dei webinar non preclude l’inclusione in quelli successivi.</w:t>
                              </w:r>
                            </w:p>
                          </w:tc>
                        </w:tr>
                      </w:tbl>
                      <w:p w14:paraId="5FAC601B" w14:textId="77777777" w:rsidR="00BC33F5" w:rsidRPr="00BC33F5" w:rsidRDefault="00BC33F5" w:rsidP="00BC33F5">
                        <w:pPr>
                          <w:spacing w:after="0" w:line="240" w:lineRule="auto"/>
                          <w:rPr>
                            <w:rFonts w:ascii="Times New Roman" w:eastAsia="Times New Roman" w:hAnsi="Times New Roman" w:cs="Times New Roman"/>
                            <w:kern w:val="0"/>
                            <w:sz w:val="20"/>
                            <w:szCs w:val="20"/>
                            <w:lang w:eastAsia="it-IT"/>
                            <w14:ligatures w14:val="none"/>
                          </w:rPr>
                        </w:pPr>
                      </w:p>
                    </w:tc>
                  </w:tr>
                </w:tbl>
                <w:p w14:paraId="77A01362" w14:textId="77777777" w:rsidR="00BC33F5" w:rsidRPr="00BC33F5" w:rsidRDefault="00BC33F5" w:rsidP="00BC33F5">
                  <w:pPr>
                    <w:spacing w:after="0" w:line="240" w:lineRule="auto"/>
                    <w:jc w:val="center"/>
                    <w:rPr>
                      <w:rFonts w:ascii="Times New Roman" w:eastAsia="Times New Roman" w:hAnsi="Times New Roman" w:cs="Times New Roman"/>
                      <w:kern w:val="0"/>
                      <w:sz w:val="20"/>
                      <w:szCs w:val="20"/>
                      <w:lang w:eastAsia="it-IT"/>
                      <w14:ligatures w14:val="none"/>
                    </w:rPr>
                  </w:pPr>
                </w:p>
              </w:tc>
            </w:tr>
            <w:tr w:rsidR="00BC33F5" w:rsidRPr="00BC33F5" w14:paraId="6A1FC0A9" w14:textId="77777777">
              <w:trPr>
                <w:jc w:val="center"/>
              </w:trPr>
              <w:tc>
                <w:tcPr>
                  <w:tcW w:w="0" w:type="auto"/>
                  <w:vAlign w:val="center"/>
                  <w:hideMark/>
                </w:tcPr>
                <w:p w14:paraId="54D0D247" w14:textId="77777777" w:rsidR="00BC33F5" w:rsidRPr="00BC33F5" w:rsidRDefault="00BC33F5" w:rsidP="00BC33F5">
                  <w:pPr>
                    <w:spacing w:after="0" w:line="15" w:lineRule="exact"/>
                    <w:rPr>
                      <w:rFonts w:ascii="Arial" w:eastAsia="Aptos" w:hAnsi="Arial" w:cs="Arial"/>
                      <w:color w:val="000000"/>
                      <w:kern w:val="0"/>
                      <w:sz w:val="21"/>
                      <w:szCs w:val="21"/>
                      <w:lang w:eastAsia="it-IT"/>
                      <w14:ligatures w14:val="none"/>
                    </w:rPr>
                  </w:pPr>
                  <w:r w:rsidRPr="00BC33F5">
                    <w:rPr>
                      <w:rFonts w:ascii="Arial" w:eastAsia="Aptos" w:hAnsi="Arial" w:cs="Arial"/>
                      <w:color w:val="000000"/>
                      <w:kern w:val="0"/>
                      <w:sz w:val="21"/>
                      <w:szCs w:val="21"/>
                      <w:lang w:eastAsia="it-IT"/>
                      <w14:ligatures w14:val="none"/>
                    </w:rPr>
                    <w:t> </w:t>
                  </w:r>
                </w:p>
              </w:tc>
            </w:tr>
            <w:tr w:rsidR="00BC33F5" w:rsidRPr="00BC33F5" w14:paraId="2B746D3D" w14:textId="77777777">
              <w:trPr>
                <w:jc w:val="center"/>
              </w:trPr>
              <w:tc>
                <w:tcPr>
                  <w:tcW w:w="0" w:type="auto"/>
                  <w:vAlign w:val="center"/>
                  <w:hideMark/>
                </w:tcPr>
                <w:p w14:paraId="5F2F0F8D" w14:textId="77777777" w:rsidR="00BC33F5" w:rsidRPr="00BC33F5" w:rsidRDefault="00BC33F5" w:rsidP="00BC33F5">
                  <w:pPr>
                    <w:spacing w:after="0" w:line="15" w:lineRule="exact"/>
                    <w:rPr>
                      <w:rFonts w:ascii="Arial" w:eastAsia="Aptos" w:hAnsi="Arial" w:cs="Arial"/>
                      <w:color w:val="000000"/>
                      <w:kern w:val="0"/>
                      <w:sz w:val="21"/>
                      <w:szCs w:val="21"/>
                      <w:lang w:eastAsia="it-IT"/>
                      <w14:ligatures w14:val="none"/>
                    </w:rPr>
                  </w:pPr>
                  <w:r w:rsidRPr="00BC33F5">
                    <w:rPr>
                      <w:rFonts w:ascii="Arial" w:eastAsia="Aptos" w:hAnsi="Arial" w:cs="Arial"/>
                      <w:color w:val="000000"/>
                      <w:kern w:val="0"/>
                      <w:sz w:val="21"/>
                      <w:szCs w:val="21"/>
                      <w:lang w:eastAsia="it-IT"/>
                      <w14:ligatures w14:val="none"/>
                    </w:rPr>
                    <w:t> </w:t>
                  </w:r>
                </w:p>
              </w:tc>
            </w:tr>
            <w:tr w:rsidR="00BC33F5" w:rsidRPr="00BC33F5" w14:paraId="5C8E7A66"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5829"/>
                    <w:gridCol w:w="2871"/>
                  </w:tblGrid>
                  <w:tr w:rsidR="00BC33F5" w:rsidRPr="00BC33F5" w14:paraId="7C8225E1" w14:textId="77777777">
                    <w:trPr>
                      <w:jc w:val="center"/>
                    </w:trPr>
                    <w:tc>
                      <w:tcPr>
                        <w:tcW w:w="5829" w:type="dxa"/>
                        <w:hideMark/>
                      </w:tcPr>
                      <w:tbl>
                        <w:tblPr>
                          <w:tblW w:w="5000" w:type="pct"/>
                          <w:tblCellSpacing w:w="0" w:type="dxa"/>
                          <w:tblCellMar>
                            <w:left w:w="0" w:type="dxa"/>
                            <w:right w:w="0" w:type="dxa"/>
                          </w:tblCellMar>
                          <w:tblLook w:val="04A0" w:firstRow="1" w:lastRow="0" w:firstColumn="1" w:lastColumn="0" w:noHBand="0" w:noVBand="1"/>
                        </w:tblPr>
                        <w:tblGrid>
                          <w:gridCol w:w="5829"/>
                        </w:tblGrid>
                        <w:tr w:rsidR="00BC33F5" w:rsidRPr="00BC33F5" w14:paraId="54C9A3B3" w14:textId="77777777">
                          <w:trPr>
                            <w:tblCellSpacing w:w="0" w:type="dxa"/>
                          </w:trPr>
                          <w:tc>
                            <w:tcPr>
                              <w:tcW w:w="0" w:type="auto"/>
                              <w:tcMar>
                                <w:top w:w="150" w:type="dxa"/>
                                <w:left w:w="150" w:type="dxa"/>
                                <w:bottom w:w="150" w:type="dxa"/>
                                <w:right w:w="150" w:type="dxa"/>
                              </w:tcMar>
                            </w:tcPr>
                            <w:p w14:paraId="2C8F8EE9" w14:textId="77777777" w:rsidR="00BC33F5" w:rsidRPr="00BC33F5" w:rsidRDefault="00BC33F5" w:rsidP="00BC33F5">
                              <w:pPr>
                                <w:shd w:val="clear" w:color="auto" w:fill="FFFFFF"/>
                                <w:spacing w:before="100" w:beforeAutospacing="1" w:after="100" w:afterAutospacing="1" w:line="276" w:lineRule="atLeast"/>
                                <w:jc w:val="both"/>
                                <w:rPr>
                                  <w:rFonts w:ascii="Aptos" w:eastAsia="Aptos" w:hAnsi="Aptos" w:cs="Aptos"/>
                                  <w:kern w:val="0"/>
                                  <w:lang w:eastAsia="it-IT"/>
                                  <w14:ligatures w14:val="none"/>
                                </w:rPr>
                              </w:pPr>
                              <w:r w:rsidRPr="00BC33F5">
                                <w:rPr>
                                  <w:rFonts w:ascii="Aptos" w:eastAsia="Aptos" w:hAnsi="Aptos" w:cs="Aptos"/>
                                  <w:b/>
                                  <w:bCs/>
                                  <w:color w:val="0070C0"/>
                                  <w:kern w:val="0"/>
                                  <w:bdr w:val="none" w:sz="0" w:space="0" w:color="auto" w:frame="1"/>
                                  <w:lang w:eastAsia="it-IT"/>
                                  <w14:ligatures w14:val="none"/>
                                </w:rPr>
                                <w:t>Perché Partecipare?</w:t>
                              </w:r>
                            </w:p>
                            <w:p w14:paraId="1A6A3AA4" w14:textId="77777777" w:rsidR="00BC33F5" w:rsidRPr="00BC33F5" w:rsidRDefault="00BC33F5" w:rsidP="00BC33F5">
                              <w:pPr>
                                <w:shd w:val="clear" w:color="auto" w:fill="FFFFFF"/>
                                <w:spacing w:before="100" w:beforeAutospacing="1" w:after="240" w:line="276" w:lineRule="atLeast"/>
                                <w:jc w:val="both"/>
                                <w:rPr>
                                  <w:rFonts w:ascii="Aptos" w:eastAsia="Aptos" w:hAnsi="Aptos" w:cs="Aptos"/>
                                  <w:kern w:val="0"/>
                                  <w:lang w:eastAsia="it-IT"/>
                                  <w14:ligatures w14:val="none"/>
                                </w:rPr>
                              </w:pPr>
                            </w:p>
                            <w:p w14:paraId="78586FAE" w14:textId="77777777" w:rsidR="00BC33F5" w:rsidRPr="00BC33F5" w:rsidRDefault="00BC33F5" w:rsidP="00BC33F5">
                              <w:pPr>
                                <w:shd w:val="clear" w:color="auto" w:fill="FFFFFF"/>
                                <w:spacing w:before="100" w:beforeAutospacing="1" w:after="100" w:afterAutospacing="1" w:line="210" w:lineRule="atLeast"/>
                                <w:jc w:val="both"/>
                                <w:rPr>
                                  <w:rFonts w:ascii="Aptos" w:eastAsia="Aptos" w:hAnsi="Aptos" w:cs="Aptos"/>
                                  <w:kern w:val="0"/>
                                  <w:lang w:eastAsia="it-IT"/>
                                  <w14:ligatures w14:val="none"/>
                                </w:rPr>
                              </w:pPr>
                              <w:r w:rsidRPr="00BC33F5">
                                <w:rPr>
                                  <w:rFonts w:ascii="Aptos" w:eastAsia="Aptos" w:hAnsi="Aptos" w:cs="Aptos"/>
                                  <w:color w:val="000000"/>
                                  <w:kern w:val="0"/>
                                  <w:lang w:eastAsia="it-IT"/>
                                  <w14:ligatures w14:val="none"/>
                                </w:rPr>
                                <w:t>Gli standard contrattuali FIDIC, frutto di un processo di armonizzazione avviato a livello internazionale sin dal 1957, rappresentano oggi un riferimento essenziale per le imprese che operano nei settori delle costruzioni, dell’ingegneria e della realizzazione di impianti. La crescente diffusione di modelli contrattuali standardizzati risponde all’esigenza delle parti di garantire certezza ed uniformità di disciplina nei rapporti di appalto internazionale, al di là delle differenze tra le legislazioni nazionali. </w:t>
                              </w:r>
                            </w:p>
                            <w:p w14:paraId="73C158B3" w14:textId="77777777" w:rsidR="00BC33F5" w:rsidRPr="00BC33F5" w:rsidRDefault="00BC33F5" w:rsidP="00BC33F5">
                              <w:pPr>
                                <w:shd w:val="clear" w:color="auto" w:fill="FFFFFF"/>
                                <w:spacing w:before="100" w:beforeAutospacing="1" w:after="240" w:line="210" w:lineRule="atLeast"/>
                                <w:jc w:val="both"/>
                                <w:rPr>
                                  <w:rFonts w:ascii="Aptos" w:eastAsia="Aptos" w:hAnsi="Aptos" w:cs="Aptos"/>
                                  <w:kern w:val="0"/>
                                  <w:lang w:eastAsia="it-IT"/>
                                  <w14:ligatures w14:val="none"/>
                                </w:rPr>
                              </w:pPr>
                            </w:p>
                            <w:p w14:paraId="5B74B9D8" w14:textId="77777777" w:rsidR="00BC33F5" w:rsidRPr="00BC33F5" w:rsidRDefault="00BC33F5" w:rsidP="00BC33F5">
                              <w:pPr>
                                <w:shd w:val="clear" w:color="auto" w:fill="FFFFFF"/>
                                <w:spacing w:before="100" w:beforeAutospacing="1" w:after="100" w:afterAutospacing="1" w:line="210" w:lineRule="atLeast"/>
                                <w:jc w:val="both"/>
                                <w:rPr>
                                  <w:rFonts w:ascii="Aptos" w:eastAsia="Aptos" w:hAnsi="Aptos" w:cs="Aptos"/>
                                  <w:kern w:val="0"/>
                                  <w:lang w:eastAsia="it-IT"/>
                                  <w14:ligatures w14:val="none"/>
                                </w:rPr>
                              </w:pPr>
                              <w:r w:rsidRPr="00BC33F5">
                                <w:rPr>
                                  <w:rFonts w:ascii="Aptos" w:eastAsia="Aptos" w:hAnsi="Aptos" w:cs="Aptos"/>
                                  <w:color w:val="000000"/>
                                  <w:kern w:val="0"/>
                                  <w:lang w:eastAsia="it-IT"/>
                                  <w14:ligatures w14:val="none"/>
                                </w:rPr>
                                <w:t xml:space="preserve">Ciascuno dei tre webinar offriranno una panoramica delle principali condizioni generali elaborate dalla FIDIC e dei relativi ambiti di applicazione — </w:t>
                              </w:r>
                              <w:r w:rsidRPr="00BC33F5">
                                <w:rPr>
                                  <w:rFonts w:ascii="Aptos" w:eastAsia="Aptos" w:hAnsi="Aptos" w:cs="Aptos"/>
                                  <w:b/>
                                  <w:bCs/>
                                  <w:color w:val="000000"/>
                                  <w:kern w:val="0"/>
                                  <w:lang w:eastAsia="it-IT"/>
                                  <w14:ligatures w14:val="none"/>
                                </w:rPr>
                                <w:t xml:space="preserve">Red, </w:t>
                              </w:r>
                              <w:r w:rsidRPr="00BC33F5">
                                <w:rPr>
                                  <w:rFonts w:ascii="Aptos" w:eastAsia="Aptos" w:hAnsi="Aptos" w:cs="Aptos"/>
                                  <w:b/>
                                  <w:bCs/>
                                  <w:color w:val="000000"/>
                                  <w:kern w:val="0"/>
                                  <w:lang w:eastAsia="it-IT"/>
                                  <w14:ligatures w14:val="none"/>
                                </w:rPr>
                                <w:lastRenderedPageBreak/>
                                <w:t>Yellow, Silver, Green ed Emerald Book</w:t>
                              </w:r>
                              <w:r w:rsidRPr="00BC33F5">
                                <w:rPr>
                                  <w:rFonts w:ascii="Aptos" w:eastAsia="Aptos" w:hAnsi="Aptos" w:cs="Aptos"/>
                                  <w:color w:val="000000"/>
                                  <w:kern w:val="0"/>
                                  <w:lang w:eastAsia="it-IT"/>
                                  <w14:ligatures w14:val="none"/>
                                </w:rPr>
                                <w:t xml:space="preserve"> — attraverso incontri che prevedono una comune introduzione generale agli standard FIDIC e successivi approfondimenti su tematiche e modelli contrattuali diversi, fornendo alle aziende linee guida pratiche per orientarsi nella redazione dei contratti internazionali e cogliere le opportunità legate all’apertura ai mercati esteri.</w:t>
                              </w:r>
                            </w:p>
                            <w:p w14:paraId="280A8630" w14:textId="77777777" w:rsidR="00BC33F5" w:rsidRPr="00BC33F5" w:rsidRDefault="00BC33F5" w:rsidP="00BC33F5">
                              <w:pPr>
                                <w:shd w:val="clear" w:color="auto" w:fill="FFFFFF"/>
                                <w:spacing w:before="100" w:beforeAutospacing="1" w:after="240" w:line="210" w:lineRule="atLeast"/>
                                <w:jc w:val="both"/>
                                <w:rPr>
                                  <w:rFonts w:ascii="Aptos" w:eastAsia="Aptos" w:hAnsi="Aptos" w:cs="Aptos"/>
                                  <w:kern w:val="0"/>
                                  <w:lang w:eastAsia="it-IT"/>
                                  <w14:ligatures w14:val="none"/>
                                </w:rPr>
                              </w:pPr>
                            </w:p>
                            <w:p w14:paraId="36CA9670" w14:textId="77777777" w:rsidR="00BC33F5" w:rsidRPr="00BC33F5" w:rsidRDefault="00BC33F5" w:rsidP="00BC33F5">
                              <w:pPr>
                                <w:shd w:val="clear" w:color="auto" w:fill="FFFFFF"/>
                                <w:spacing w:before="100" w:beforeAutospacing="1" w:after="100" w:afterAutospacing="1" w:line="210" w:lineRule="atLeast"/>
                                <w:jc w:val="both"/>
                                <w:rPr>
                                  <w:rFonts w:ascii="Aptos" w:eastAsia="Aptos" w:hAnsi="Aptos" w:cs="Aptos"/>
                                  <w:kern w:val="0"/>
                                  <w:lang w:eastAsia="it-IT"/>
                                  <w14:ligatures w14:val="none"/>
                                </w:rPr>
                              </w:pPr>
                              <w:r w:rsidRPr="00BC33F5">
                                <w:rPr>
                                  <w:rFonts w:ascii="Aptos" w:eastAsia="Aptos" w:hAnsi="Aptos" w:cs="Aptos"/>
                                  <w:color w:val="000000"/>
                                  <w:kern w:val="0"/>
                                  <w:lang w:eastAsia="it-IT"/>
                                  <w14:ligatures w14:val="none"/>
                                </w:rPr>
                                <w:t>Questo ciclo di Webinar costituirà una fase preparatoria al processo di selezione di 90 imprese che potranno partecipare ai corsi FIDIC in presenza, che si terranno nelle città di</w:t>
                              </w:r>
                              <w:r w:rsidRPr="00BC33F5">
                                <w:rPr>
                                  <w:rFonts w:ascii="Aptos" w:eastAsia="Aptos" w:hAnsi="Aptos" w:cs="Aptos"/>
                                  <w:b/>
                                  <w:bCs/>
                                  <w:color w:val="000000"/>
                                  <w:kern w:val="0"/>
                                  <w:lang w:eastAsia="it-IT"/>
                                  <w14:ligatures w14:val="none"/>
                                </w:rPr>
                                <w:t xml:space="preserve"> Roma, Napoli e Milano,</w:t>
                              </w:r>
                              <w:r w:rsidRPr="00BC33F5">
                                <w:rPr>
                                  <w:rFonts w:ascii="Aptos" w:eastAsia="Aptos" w:hAnsi="Aptos" w:cs="Aptos"/>
                                  <w:color w:val="000000"/>
                                  <w:kern w:val="0"/>
                                  <w:lang w:eastAsia="it-IT"/>
                                  <w14:ligatures w14:val="none"/>
                                </w:rPr>
                                <w:t xml:space="preserve"> rispettivamente nei mesi di </w:t>
                              </w:r>
                              <w:r w:rsidRPr="00BC33F5">
                                <w:rPr>
                                  <w:rFonts w:ascii="Aptos" w:eastAsia="Aptos" w:hAnsi="Aptos" w:cs="Aptos"/>
                                  <w:b/>
                                  <w:bCs/>
                                  <w:color w:val="000000"/>
                                  <w:kern w:val="0"/>
                                  <w:lang w:eastAsia="it-IT"/>
                                  <w14:ligatures w14:val="none"/>
                                </w:rPr>
                                <w:t>maggio, giugno, e ottobre 2026.</w:t>
                              </w:r>
                            </w:p>
                            <w:p w14:paraId="14FA069B" w14:textId="77777777" w:rsidR="00BC33F5" w:rsidRPr="00BC33F5" w:rsidRDefault="00BC33F5" w:rsidP="00BC33F5">
                              <w:pPr>
                                <w:shd w:val="clear" w:color="auto" w:fill="FFFFFF"/>
                                <w:spacing w:before="100" w:beforeAutospacing="1" w:after="100" w:afterAutospacing="1" w:line="210" w:lineRule="atLeast"/>
                                <w:jc w:val="both"/>
                                <w:rPr>
                                  <w:rFonts w:ascii="Aptos" w:eastAsia="Aptos" w:hAnsi="Aptos" w:cs="Aptos"/>
                                  <w:kern w:val="0"/>
                                  <w:lang w:eastAsia="it-IT"/>
                                  <w14:ligatures w14:val="none"/>
                                </w:rPr>
                              </w:pPr>
                              <w:r w:rsidRPr="00BC33F5">
                                <w:rPr>
                                  <w:rFonts w:ascii="Aptos" w:eastAsia="Aptos" w:hAnsi="Aptos" w:cs="Aptos"/>
                                  <w:b/>
                                  <w:bCs/>
                                  <w:color w:val="000000"/>
                                  <w:kern w:val="0"/>
                                  <w:lang w:eastAsia="it-IT"/>
                                  <w14:ligatures w14:val="none"/>
                                </w:rPr>
                                <w:t> </w:t>
                              </w:r>
                            </w:p>
                            <w:p w14:paraId="56DC1976" w14:textId="77777777" w:rsidR="00BC33F5" w:rsidRPr="00BC33F5" w:rsidRDefault="00BC33F5" w:rsidP="00BC33F5">
                              <w:pPr>
                                <w:shd w:val="clear" w:color="auto" w:fill="FFFFFF"/>
                                <w:spacing w:before="100" w:beforeAutospacing="1" w:after="100" w:afterAutospacing="1" w:line="210" w:lineRule="atLeast"/>
                                <w:jc w:val="both"/>
                                <w:rPr>
                                  <w:rFonts w:ascii="Aptos" w:eastAsia="Aptos" w:hAnsi="Aptos" w:cs="Aptos"/>
                                  <w:kern w:val="0"/>
                                  <w:lang w:eastAsia="it-IT"/>
                                  <w14:ligatures w14:val="none"/>
                                </w:rPr>
                              </w:pPr>
                              <w:r w:rsidRPr="00BC33F5">
                                <w:rPr>
                                  <w:rFonts w:ascii="Aptos" w:eastAsia="Aptos" w:hAnsi="Aptos" w:cs="Aptos"/>
                                  <w:color w:val="000000"/>
                                  <w:kern w:val="0"/>
                                  <w:lang w:eastAsia="it-IT"/>
                                  <w14:ligatures w14:val="none"/>
                                </w:rPr>
                                <w:t xml:space="preserve">I corsi in presenza saranno tenuti </w:t>
                              </w:r>
                              <w:proofErr w:type="spellStart"/>
                              <w:r w:rsidRPr="00BC33F5">
                                <w:rPr>
                                  <w:rFonts w:ascii="Aptos" w:eastAsia="Aptos" w:hAnsi="Aptos" w:cs="Aptos"/>
                                  <w:color w:val="000000"/>
                                  <w:kern w:val="0"/>
                                  <w:lang w:eastAsia="it-IT"/>
                                  <w14:ligatures w14:val="none"/>
                                </w:rPr>
                                <w:t>dall'</w:t>
                              </w:r>
                              <w:r w:rsidRPr="00BC33F5">
                                <w:rPr>
                                  <w:rFonts w:ascii="Aptos" w:eastAsia="Aptos" w:hAnsi="Aptos" w:cs="Aptos"/>
                                  <w:b/>
                                  <w:bCs/>
                                  <w:color w:val="000000"/>
                                  <w:kern w:val="0"/>
                                  <w:lang w:eastAsia="it-IT"/>
                                  <w14:ligatures w14:val="none"/>
                                </w:rPr>
                                <w:t>Ing</w:t>
                              </w:r>
                              <w:proofErr w:type="spellEnd"/>
                              <w:r w:rsidRPr="00BC33F5">
                                <w:rPr>
                                  <w:rFonts w:ascii="Aptos" w:eastAsia="Aptos" w:hAnsi="Aptos" w:cs="Aptos"/>
                                  <w:b/>
                                  <w:bCs/>
                                  <w:color w:val="000000"/>
                                  <w:kern w:val="0"/>
                                  <w:lang w:eastAsia="it-IT"/>
                                  <w14:ligatures w14:val="none"/>
                                </w:rPr>
                                <w:t>. Husni Madi, trainer accreditato FIDIC.</w:t>
                              </w:r>
                              <w:r w:rsidRPr="00BC33F5">
                                <w:rPr>
                                  <w:rFonts w:ascii="Aptos" w:eastAsia="Aptos" w:hAnsi="Aptos" w:cs="Aptos"/>
                                  <w:color w:val="000000"/>
                                  <w:kern w:val="0"/>
                                  <w:lang w:eastAsia="it-IT"/>
                                  <w14:ligatures w14:val="none"/>
                                </w:rPr>
                                <w:t xml:space="preserve"> A seguito della partecipazione le aziende riceveranno un certificato di frequenza.</w:t>
                              </w:r>
                            </w:p>
                          </w:tc>
                        </w:tr>
                      </w:tbl>
                      <w:p w14:paraId="5699F014" w14:textId="77777777" w:rsidR="00BC33F5" w:rsidRPr="00BC33F5" w:rsidRDefault="00BC33F5" w:rsidP="00BC33F5">
                        <w:pPr>
                          <w:spacing w:after="0" w:line="240" w:lineRule="auto"/>
                          <w:rPr>
                            <w:rFonts w:ascii="Times New Roman" w:eastAsia="Times New Roman" w:hAnsi="Times New Roman" w:cs="Times New Roman"/>
                            <w:kern w:val="0"/>
                            <w:sz w:val="20"/>
                            <w:szCs w:val="20"/>
                            <w:lang w:eastAsia="it-IT"/>
                            <w14:ligatures w14:val="none"/>
                          </w:rPr>
                        </w:pPr>
                      </w:p>
                    </w:tc>
                    <w:tc>
                      <w:tcPr>
                        <w:tcW w:w="2871" w:type="dxa"/>
                        <w:hideMark/>
                      </w:tcPr>
                      <w:tbl>
                        <w:tblPr>
                          <w:tblW w:w="5000" w:type="pct"/>
                          <w:tblCellSpacing w:w="0" w:type="dxa"/>
                          <w:tblCellMar>
                            <w:left w:w="0" w:type="dxa"/>
                            <w:right w:w="0" w:type="dxa"/>
                          </w:tblCellMar>
                          <w:tblLook w:val="04A0" w:firstRow="1" w:lastRow="0" w:firstColumn="1" w:lastColumn="0" w:noHBand="0" w:noVBand="1"/>
                        </w:tblPr>
                        <w:tblGrid>
                          <w:gridCol w:w="2871"/>
                        </w:tblGrid>
                        <w:tr w:rsidR="00BC33F5" w:rsidRPr="00BC33F5" w14:paraId="64408D72" w14:textId="77777777">
                          <w:trPr>
                            <w:tblCellSpacing w:w="0" w:type="dxa"/>
                          </w:trPr>
                          <w:tc>
                            <w:tcPr>
                              <w:tcW w:w="0" w:type="auto"/>
                              <w:tcMar>
                                <w:top w:w="150" w:type="dxa"/>
                                <w:left w:w="150" w:type="dxa"/>
                                <w:bottom w:w="150" w:type="dxa"/>
                                <w:right w:w="150" w:type="dxa"/>
                              </w:tcMar>
                            </w:tcPr>
                            <w:p w14:paraId="6A9C183D" w14:textId="77777777" w:rsidR="00BC33F5" w:rsidRPr="00BC33F5" w:rsidRDefault="00BC33F5" w:rsidP="00BC33F5">
                              <w:pPr>
                                <w:spacing w:before="100" w:beforeAutospacing="1" w:after="100" w:afterAutospacing="1" w:line="331" w:lineRule="atLeast"/>
                                <w:jc w:val="center"/>
                                <w:rPr>
                                  <w:rFonts w:ascii="TimesNewRoman" w:eastAsia="Aptos" w:hAnsi="TimesNewRoman" w:cs="Aptos"/>
                                  <w:kern w:val="0"/>
                                  <w:lang w:eastAsia="it-IT"/>
                                  <w14:ligatures w14:val="none"/>
                                </w:rPr>
                              </w:pPr>
                              <w:r w:rsidRPr="00BC33F5">
                                <w:rPr>
                                  <w:rFonts w:ascii="Aptos" w:eastAsia="Aptos" w:hAnsi="Aptos" w:cs="Aptos"/>
                                  <w:b/>
                                  <w:bCs/>
                                  <w:color w:val="0070C0"/>
                                  <w:kern w:val="0"/>
                                  <w:lang w:eastAsia="it-IT"/>
                                  <w14:ligatures w14:val="none"/>
                                </w:rPr>
                                <w:lastRenderedPageBreak/>
                                <w:t>Quando e Dove</w:t>
                              </w:r>
                            </w:p>
                            <w:p w14:paraId="015AC85C" w14:textId="77777777" w:rsidR="00BC33F5" w:rsidRPr="00BC33F5" w:rsidRDefault="00BC33F5" w:rsidP="00BC33F5">
                              <w:pPr>
                                <w:spacing w:before="100" w:beforeAutospacing="1" w:after="100" w:afterAutospacing="1" w:line="331" w:lineRule="atLeast"/>
                                <w:jc w:val="center"/>
                                <w:rPr>
                                  <w:rFonts w:ascii="TimesNewRoman" w:eastAsia="Aptos" w:hAnsi="TimesNewRoman" w:cs="Aptos"/>
                                  <w:kern w:val="0"/>
                                  <w:lang w:eastAsia="it-IT"/>
                                  <w14:ligatures w14:val="none"/>
                                </w:rPr>
                              </w:pPr>
                              <w:r w:rsidRPr="00BC33F5">
                                <w:rPr>
                                  <w:rFonts w:ascii="Segoe UI Emoji" w:eastAsia="Aptos" w:hAnsi="Segoe UI Emoji" w:cs="Segoe UI Emoji"/>
                                  <w:b/>
                                  <w:bCs/>
                                  <w:color w:val="222222"/>
                                  <w:kern w:val="0"/>
                                  <w:sz w:val="23"/>
                                  <w:szCs w:val="23"/>
                                  <w:bdr w:val="none" w:sz="0" w:space="0" w:color="auto" w:frame="1"/>
                                  <w:lang w:eastAsia="it-IT"/>
                                  <w14:ligatures w14:val="none"/>
                                </w:rPr>
                                <w:t>📅</w:t>
                              </w:r>
                              <w:r w:rsidRPr="00BC33F5">
                                <w:rPr>
                                  <w:rFonts w:ascii="Aptos" w:eastAsia="Aptos" w:hAnsi="Aptos" w:cs="Aptos"/>
                                  <w:b/>
                                  <w:bCs/>
                                  <w:color w:val="222222"/>
                                  <w:kern w:val="0"/>
                                  <w:sz w:val="23"/>
                                  <w:szCs w:val="23"/>
                                  <w:bdr w:val="none" w:sz="0" w:space="0" w:color="auto" w:frame="1"/>
                                  <w:lang w:eastAsia="it-IT"/>
                                  <w14:ligatures w14:val="none"/>
                                </w:rPr>
                                <w:t>26 febbraio 2026</w:t>
                              </w:r>
                            </w:p>
                            <w:p w14:paraId="12C52FFD" w14:textId="77777777" w:rsidR="00BC33F5" w:rsidRPr="00BC33F5" w:rsidRDefault="00BC33F5" w:rsidP="00BC33F5">
                              <w:pPr>
                                <w:spacing w:before="100" w:beforeAutospacing="1" w:after="100" w:afterAutospacing="1" w:line="331" w:lineRule="atLeast"/>
                                <w:jc w:val="center"/>
                                <w:rPr>
                                  <w:rFonts w:ascii="TimesNewRoman" w:eastAsia="Aptos" w:hAnsi="TimesNewRoman" w:cs="Aptos"/>
                                  <w:kern w:val="0"/>
                                  <w:lang w:eastAsia="it-IT"/>
                                  <w14:ligatures w14:val="none"/>
                                </w:rPr>
                              </w:pPr>
                              <w:r w:rsidRPr="00BC33F5">
                                <w:rPr>
                                  <w:rFonts w:ascii="Segoe UI Emoji" w:eastAsia="Aptos" w:hAnsi="Segoe UI Emoji" w:cs="Segoe UI Emoji"/>
                                  <w:b/>
                                  <w:bCs/>
                                  <w:color w:val="222222"/>
                                  <w:kern w:val="0"/>
                                  <w:sz w:val="23"/>
                                  <w:szCs w:val="23"/>
                                  <w:bdr w:val="none" w:sz="0" w:space="0" w:color="auto" w:frame="1"/>
                                  <w:lang w:eastAsia="it-IT"/>
                                  <w14:ligatures w14:val="none"/>
                                </w:rPr>
                                <w:t>📅</w:t>
                              </w:r>
                              <w:r w:rsidRPr="00BC33F5">
                                <w:rPr>
                                  <w:rFonts w:ascii="Aptos" w:eastAsia="Aptos" w:hAnsi="Aptos" w:cs="Aptos"/>
                                  <w:b/>
                                  <w:bCs/>
                                  <w:color w:val="222222"/>
                                  <w:kern w:val="0"/>
                                  <w:sz w:val="23"/>
                                  <w:szCs w:val="23"/>
                                  <w:bdr w:val="none" w:sz="0" w:space="0" w:color="auto" w:frame="1"/>
                                  <w:lang w:eastAsia="it-IT"/>
                                  <w14:ligatures w14:val="none"/>
                                </w:rPr>
                                <w:t xml:space="preserve"> 12 marzo 2026 </w:t>
                              </w:r>
                            </w:p>
                            <w:p w14:paraId="31CECA17" w14:textId="77777777" w:rsidR="00BC33F5" w:rsidRPr="00BC33F5" w:rsidRDefault="00BC33F5" w:rsidP="00BC33F5">
                              <w:pPr>
                                <w:spacing w:before="100" w:beforeAutospacing="1" w:after="100" w:afterAutospacing="1" w:line="331" w:lineRule="atLeast"/>
                                <w:jc w:val="center"/>
                                <w:rPr>
                                  <w:rFonts w:ascii="TimesNewRoman" w:eastAsia="Aptos" w:hAnsi="TimesNewRoman" w:cs="Aptos"/>
                                  <w:kern w:val="0"/>
                                  <w:lang w:eastAsia="it-IT"/>
                                  <w14:ligatures w14:val="none"/>
                                </w:rPr>
                              </w:pPr>
                              <w:r w:rsidRPr="00BC33F5">
                                <w:rPr>
                                  <w:rFonts w:ascii="Segoe UI Emoji" w:eastAsia="Aptos" w:hAnsi="Segoe UI Emoji" w:cs="Segoe UI Emoji"/>
                                  <w:b/>
                                  <w:bCs/>
                                  <w:color w:val="222222"/>
                                  <w:kern w:val="0"/>
                                  <w:sz w:val="23"/>
                                  <w:szCs w:val="23"/>
                                  <w:bdr w:val="none" w:sz="0" w:space="0" w:color="auto" w:frame="1"/>
                                  <w:lang w:eastAsia="it-IT"/>
                                  <w14:ligatures w14:val="none"/>
                                </w:rPr>
                                <w:t>📅</w:t>
                              </w:r>
                              <w:r w:rsidRPr="00BC33F5">
                                <w:rPr>
                                  <w:rFonts w:ascii="Aptos" w:eastAsia="Aptos" w:hAnsi="Aptos" w:cs="Aptos"/>
                                  <w:b/>
                                  <w:bCs/>
                                  <w:color w:val="222222"/>
                                  <w:kern w:val="0"/>
                                  <w:sz w:val="23"/>
                                  <w:szCs w:val="23"/>
                                  <w:bdr w:val="none" w:sz="0" w:space="0" w:color="auto" w:frame="1"/>
                                  <w:lang w:eastAsia="it-IT"/>
                                  <w14:ligatures w14:val="none"/>
                                </w:rPr>
                                <w:t xml:space="preserve"> 26 marzo 2026</w:t>
                              </w:r>
                            </w:p>
                            <w:p w14:paraId="652B96C7" w14:textId="77777777" w:rsidR="00BC33F5" w:rsidRPr="00BC33F5" w:rsidRDefault="00BC33F5" w:rsidP="00BC33F5">
                              <w:pPr>
                                <w:spacing w:before="100" w:beforeAutospacing="1" w:after="100" w:afterAutospacing="1" w:line="331" w:lineRule="atLeast"/>
                                <w:jc w:val="center"/>
                                <w:rPr>
                                  <w:rFonts w:ascii="TimesNewRoman" w:eastAsia="Aptos" w:hAnsi="TimesNewRoman" w:cs="Aptos"/>
                                  <w:kern w:val="0"/>
                                  <w:lang w:eastAsia="it-IT"/>
                                  <w14:ligatures w14:val="none"/>
                                </w:rPr>
                              </w:pPr>
                              <w:r w:rsidRPr="00BC33F5">
                                <w:rPr>
                                  <w:rFonts w:ascii="Segoe UI Emoji" w:eastAsia="Aptos" w:hAnsi="Segoe UI Emoji" w:cs="Segoe UI Emoji"/>
                                  <w:b/>
                                  <w:bCs/>
                                  <w:color w:val="222222"/>
                                  <w:kern w:val="0"/>
                                  <w:sz w:val="23"/>
                                  <w:szCs w:val="23"/>
                                  <w:bdr w:val="none" w:sz="0" w:space="0" w:color="auto" w:frame="1"/>
                                  <w:lang w:eastAsia="it-IT"/>
                                  <w14:ligatures w14:val="none"/>
                                </w:rPr>
                                <w:t>🕙️</w:t>
                              </w:r>
                              <w:r w:rsidRPr="00BC33F5">
                                <w:rPr>
                                  <w:rFonts w:ascii="Aptos" w:eastAsia="Aptos" w:hAnsi="Aptos" w:cs="Aptos"/>
                                  <w:b/>
                                  <w:bCs/>
                                  <w:color w:val="222222"/>
                                  <w:kern w:val="0"/>
                                  <w:sz w:val="23"/>
                                  <w:szCs w:val="23"/>
                                  <w:bdr w:val="none" w:sz="0" w:space="0" w:color="auto" w:frame="1"/>
                                  <w:lang w:eastAsia="it-IT"/>
                                  <w14:ligatures w14:val="none"/>
                                </w:rPr>
                                <w:t>10:00 – 13:00</w:t>
                              </w:r>
                            </w:p>
                            <w:p w14:paraId="54443E40" w14:textId="77777777" w:rsidR="00BC33F5" w:rsidRPr="00BC33F5" w:rsidRDefault="00BC33F5" w:rsidP="00BC33F5">
                              <w:pPr>
                                <w:spacing w:before="100" w:beforeAutospacing="1" w:after="100" w:afterAutospacing="1" w:line="331" w:lineRule="atLeast"/>
                                <w:jc w:val="center"/>
                                <w:rPr>
                                  <w:rFonts w:ascii="TimesNewRoman" w:eastAsia="Aptos" w:hAnsi="TimesNewRoman" w:cs="Aptos"/>
                                  <w:kern w:val="0"/>
                                  <w:lang w:eastAsia="it-IT"/>
                                  <w14:ligatures w14:val="none"/>
                                </w:rPr>
                              </w:pPr>
                              <w:r w:rsidRPr="00BC33F5">
                                <w:rPr>
                                  <w:rFonts w:ascii="Segoe UI Emoji" w:eastAsia="Aptos" w:hAnsi="Segoe UI Emoji" w:cs="Segoe UI Emoji"/>
                                  <w:b/>
                                  <w:bCs/>
                                  <w:color w:val="222222"/>
                                  <w:kern w:val="0"/>
                                  <w:sz w:val="23"/>
                                  <w:szCs w:val="23"/>
                                  <w:bdr w:val="none" w:sz="0" w:space="0" w:color="auto" w:frame="1"/>
                                  <w:lang w:eastAsia="it-IT"/>
                                  <w14:ligatures w14:val="none"/>
                                </w:rPr>
                                <w:t>📍</w:t>
                              </w:r>
                              <w:r w:rsidRPr="00BC33F5">
                                <w:rPr>
                                  <w:rFonts w:ascii="Aptos" w:eastAsia="Aptos" w:hAnsi="Aptos" w:cs="Aptos"/>
                                  <w:b/>
                                  <w:bCs/>
                                  <w:color w:val="222222"/>
                                  <w:kern w:val="0"/>
                                  <w:sz w:val="23"/>
                                  <w:szCs w:val="23"/>
                                  <w:bdr w:val="none" w:sz="0" w:space="0" w:color="auto" w:frame="1"/>
                                  <w:lang w:eastAsia="it-IT"/>
                                  <w14:ligatures w14:val="none"/>
                                </w:rPr>
                                <w:t>Piattaforma Zoom</w:t>
                              </w:r>
                            </w:p>
                            <w:p w14:paraId="5914F943" w14:textId="77777777" w:rsidR="00BC33F5" w:rsidRPr="00BC33F5" w:rsidRDefault="00BC33F5" w:rsidP="00BC33F5">
                              <w:pPr>
                                <w:spacing w:before="100" w:beforeAutospacing="1" w:after="100" w:afterAutospacing="1" w:line="240" w:lineRule="auto"/>
                                <w:rPr>
                                  <w:rFonts w:ascii="Aptos" w:eastAsia="Aptos" w:hAnsi="Aptos" w:cs="Aptos"/>
                                  <w:kern w:val="0"/>
                                  <w:lang w:eastAsia="it-IT"/>
                                  <w14:ligatures w14:val="none"/>
                                </w:rPr>
                              </w:pPr>
                            </w:p>
                            <w:tbl>
                              <w:tblPr>
                                <w:tblW w:w="0" w:type="auto"/>
                                <w:tblCellMar>
                                  <w:left w:w="0" w:type="dxa"/>
                                  <w:right w:w="0" w:type="dxa"/>
                                </w:tblCellMar>
                                <w:tblLook w:val="04A0" w:firstRow="1" w:lastRow="0" w:firstColumn="1" w:lastColumn="0" w:noHBand="0" w:noVBand="1"/>
                              </w:tblPr>
                              <w:tblGrid>
                                <w:gridCol w:w="2571"/>
                              </w:tblGrid>
                              <w:tr w:rsidR="00BC33F5" w:rsidRPr="00BC33F5" w14:paraId="2074AF2E" w14:textId="77777777">
                                <w:tc>
                                  <w:tcPr>
                                    <w:tcW w:w="2571" w:type="dxa"/>
                                    <w:tcMar>
                                      <w:top w:w="300" w:type="dxa"/>
                                      <w:left w:w="150" w:type="dxa"/>
                                      <w:bottom w:w="300" w:type="dxa"/>
                                      <w:right w:w="150" w:type="dxa"/>
                                    </w:tcMar>
                                    <w:hideMark/>
                                  </w:tcPr>
                                  <w:tbl>
                                    <w:tblPr>
                                      <w:tblW w:w="5000" w:type="pct"/>
                                      <w:jc w:val="center"/>
                                      <w:tblCellSpacing w:w="15" w:type="dxa"/>
                                      <w:tblCellMar>
                                        <w:left w:w="0" w:type="dxa"/>
                                        <w:right w:w="0" w:type="dxa"/>
                                      </w:tblCellMar>
                                      <w:tblLook w:val="04A0" w:firstRow="1" w:lastRow="0" w:firstColumn="1" w:lastColumn="0" w:noHBand="0" w:noVBand="1"/>
                                    </w:tblPr>
                                    <w:tblGrid>
                                      <w:gridCol w:w="2271"/>
                                    </w:tblGrid>
                                    <w:tr w:rsidR="00BC33F5" w:rsidRPr="00BC33F5" w14:paraId="0CD987C4" w14:textId="77777777">
                                      <w:trPr>
                                        <w:tblCellSpacing w:w="15" w:type="dxa"/>
                                        <w:jc w:val="center"/>
                                      </w:trPr>
                                      <w:tc>
                                        <w:tcPr>
                                          <w:tcW w:w="0" w:type="auto"/>
                                          <w:tcBorders>
                                            <w:top w:val="single" w:sz="12" w:space="0" w:color="E1DFDD"/>
                                            <w:left w:val="nil"/>
                                            <w:bottom w:val="nil"/>
                                            <w:right w:val="nil"/>
                                          </w:tcBorders>
                                          <w:hideMark/>
                                        </w:tcPr>
                                        <w:p w14:paraId="14AB5B48" w14:textId="77777777" w:rsidR="00BC33F5" w:rsidRPr="00BC33F5" w:rsidRDefault="00BC33F5" w:rsidP="00BC33F5">
                                          <w:pPr>
                                            <w:spacing w:before="100" w:beforeAutospacing="1" w:after="100" w:afterAutospacing="1" w:line="240" w:lineRule="auto"/>
                                            <w:rPr>
                                              <w:rFonts w:ascii="Aptos" w:eastAsia="Aptos" w:hAnsi="Aptos" w:cs="Aptos"/>
                                              <w:kern w:val="0"/>
                                              <w:lang w:eastAsia="it-IT"/>
                                              <w14:ligatures w14:val="none"/>
                                            </w:rPr>
                                          </w:pPr>
                                          <w:r w:rsidRPr="00BC33F5">
                                            <w:rPr>
                                              <w:rFonts w:ascii="Aptos" w:eastAsia="Aptos" w:hAnsi="Aptos" w:cs="Aptos"/>
                                              <w:kern w:val="0"/>
                                              <w:lang w:eastAsia="it-IT"/>
                                              <w14:ligatures w14:val="none"/>
                                            </w:rPr>
                                            <w:br/>
                                            <w:t> </w:t>
                                          </w:r>
                                        </w:p>
                                      </w:tc>
                                    </w:tr>
                                  </w:tbl>
                                  <w:p w14:paraId="103A1CEF" w14:textId="77777777" w:rsidR="00BC33F5" w:rsidRPr="00BC33F5" w:rsidRDefault="00BC33F5" w:rsidP="00BC33F5">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37712D96" w14:textId="77777777" w:rsidR="00BC33F5" w:rsidRPr="00BC33F5" w:rsidRDefault="00BC33F5" w:rsidP="00BC33F5">
                              <w:pPr>
                                <w:spacing w:before="100" w:beforeAutospacing="1" w:after="100" w:afterAutospacing="1" w:line="331" w:lineRule="atLeast"/>
                                <w:jc w:val="center"/>
                                <w:rPr>
                                  <w:rFonts w:ascii="TimesNewRoman" w:eastAsia="Aptos" w:hAnsi="TimesNewRoman" w:cs="Aptos"/>
                                  <w:kern w:val="0"/>
                                  <w:lang w:eastAsia="it-IT"/>
                                  <w14:ligatures w14:val="none"/>
                                </w:rPr>
                              </w:pPr>
                              <w:r w:rsidRPr="00BC33F5">
                                <w:rPr>
                                  <w:rFonts w:ascii="Aptos" w:eastAsia="Aptos" w:hAnsi="Aptos" w:cs="Aptos"/>
                                  <w:b/>
                                  <w:bCs/>
                                  <w:color w:val="0070C0"/>
                                  <w:kern w:val="0"/>
                                  <w:bdr w:val="none" w:sz="0" w:space="0" w:color="auto" w:frame="1"/>
                                  <w:lang w:eastAsia="it-IT"/>
                                  <w14:ligatures w14:val="none"/>
                                </w:rPr>
                                <w:lastRenderedPageBreak/>
                                <w:t>Contatti</w:t>
                              </w:r>
                            </w:p>
                            <w:p w14:paraId="0BEE9DF9" w14:textId="77777777" w:rsidR="00BC33F5" w:rsidRPr="00BC33F5" w:rsidRDefault="00BC33F5" w:rsidP="00BC33F5">
                              <w:pPr>
                                <w:spacing w:before="100" w:beforeAutospacing="1" w:after="100" w:afterAutospacing="1" w:line="331" w:lineRule="atLeast"/>
                                <w:jc w:val="center"/>
                                <w:rPr>
                                  <w:rFonts w:ascii="TimesNewRoman" w:eastAsia="Aptos" w:hAnsi="TimesNewRoman" w:cs="Aptos"/>
                                  <w:kern w:val="0"/>
                                  <w:lang w:eastAsia="it-IT"/>
                                  <w14:ligatures w14:val="none"/>
                                </w:rPr>
                              </w:pPr>
                              <w:r w:rsidRPr="00BC33F5">
                                <w:rPr>
                                  <w:rFonts w:ascii="Aptos" w:eastAsia="Aptos" w:hAnsi="Aptos" w:cs="Aptos"/>
                                  <w:b/>
                                  <w:bCs/>
                                  <w:color w:val="222222"/>
                                  <w:kern w:val="0"/>
                                  <w:sz w:val="23"/>
                                  <w:szCs w:val="23"/>
                                  <w:bdr w:val="none" w:sz="0" w:space="0" w:color="auto" w:frame="1"/>
                                  <w:lang w:eastAsia="it-IT"/>
                                  <w14:ligatures w14:val="none"/>
                                </w:rPr>
                                <w:t>Agenzia ICE</w:t>
                              </w:r>
                            </w:p>
                            <w:p w14:paraId="5C2F2210" w14:textId="77777777" w:rsidR="00BC33F5" w:rsidRPr="00BC33F5" w:rsidRDefault="00BC33F5" w:rsidP="00BC33F5">
                              <w:pPr>
                                <w:spacing w:before="100" w:beforeAutospacing="1" w:after="100" w:afterAutospacing="1" w:line="331" w:lineRule="atLeast"/>
                                <w:jc w:val="center"/>
                                <w:rPr>
                                  <w:rFonts w:ascii="TimesNewRoman" w:eastAsia="Aptos" w:hAnsi="TimesNewRoman" w:cs="Aptos"/>
                                  <w:kern w:val="0"/>
                                  <w:lang w:eastAsia="it-IT"/>
                                  <w14:ligatures w14:val="none"/>
                                </w:rPr>
                              </w:pPr>
                              <w:r w:rsidRPr="00BC33F5">
                                <w:rPr>
                                  <w:rFonts w:ascii="Aptos" w:eastAsia="Aptos" w:hAnsi="Aptos" w:cs="Aptos"/>
                                  <w:b/>
                                  <w:bCs/>
                                  <w:color w:val="222222"/>
                                  <w:kern w:val="0"/>
                                  <w:sz w:val="23"/>
                                  <w:szCs w:val="23"/>
                                  <w:bdr w:val="none" w:sz="0" w:space="0" w:color="auto" w:frame="1"/>
                                  <w:lang w:eastAsia="it-IT"/>
                                  <w14:ligatures w14:val="none"/>
                                </w:rPr>
                                <w:t>Ufficio Formazione alle Imprese</w:t>
                              </w:r>
                            </w:p>
                            <w:p w14:paraId="173A9A07" w14:textId="77777777" w:rsidR="00BC33F5" w:rsidRPr="00BC33F5" w:rsidRDefault="00BC33F5" w:rsidP="00BC33F5">
                              <w:pPr>
                                <w:spacing w:before="100" w:beforeAutospacing="1" w:after="100" w:afterAutospacing="1" w:line="331" w:lineRule="atLeast"/>
                                <w:jc w:val="center"/>
                                <w:rPr>
                                  <w:rFonts w:ascii="TimesNewRoman" w:eastAsia="Aptos" w:hAnsi="TimesNewRoman" w:cs="Aptos"/>
                                  <w:kern w:val="0"/>
                                  <w:lang w:eastAsia="it-IT"/>
                                  <w14:ligatures w14:val="none"/>
                                </w:rPr>
                              </w:pPr>
                              <w:hyperlink r:id="rId4" w:tooltip="public-eur.mkt.dynamics.com" w:history="1">
                                <w:r w:rsidRPr="00BC33F5">
                                  <w:rPr>
                                    <w:rFonts w:ascii="Arial" w:eastAsia="Aptos" w:hAnsi="Arial" w:cs="Arial"/>
                                    <w:color w:val="0000FF"/>
                                    <w:kern w:val="0"/>
                                    <w:sz w:val="23"/>
                                    <w:szCs w:val="23"/>
                                    <w:bdr w:val="none" w:sz="0" w:space="0" w:color="auto" w:frame="1"/>
                                    <w:shd w:val="clear" w:color="auto" w:fill="FFFFFF"/>
                                    <w:lang w:eastAsia="it-IT"/>
                                    <w14:ligatures w14:val="none"/>
                                  </w:rPr>
                                  <w:t>tenderlab@ice.it</w:t>
                                </w:r>
                              </w:hyperlink>
                            </w:p>
                            <w:p w14:paraId="3E33CCB2" w14:textId="77777777" w:rsidR="00BC33F5" w:rsidRPr="00BC33F5" w:rsidRDefault="00BC33F5" w:rsidP="00BC33F5">
                              <w:pPr>
                                <w:spacing w:before="100" w:beforeAutospacing="1" w:after="100" w:afterAutospacing="1" w:line="331" w:lineRule="atLeast"/>
                                <w:jc w:val="center"/>
                                <w:rPr>
                                  <w:rFonts w:ascii="TimesNewRoman" w:eastAsia="Aptos" w:hAnsi="TimesNewRoman" w:cs="Aptos"/>
                                  <w:kern w:val="0"/>
                                  <w:lang w:eastAsia="it-IT"/>
                                  <w14:ligatures w14:val="none"/>
                                </w:rPr>
                              </w:pPr>
                              <w:hyperlink r:id="rId5" w:tooltip="public-eur.mkt.dynamics.com" w:history="1">
                                <w:r w:rsidRPr="00BC33F5">
                                  <w:rPr>
                                    <w:rFonts w:ascii="Arial" w:eastAsia="Aptos" w:hAnsi="Arial" w:cs="Arial"/>
                                    <w:color w:val="0000FF"/>
                                    <w:kern w:val="0"/>
                                    <w:u w:val="single"/>
                                    <w:shd w:val="clear" w:color="auto" w:fill="FFFFFF"/>
                                    <w:lang w:eastAsia="it-IT"/>
                                    <w14:ligatures w14:val="none"/>
                                  </w:rPr>
                                  <w:t>www.exportraining.ice.it</w:t>
                                </w:r>
                              </w:hyperlink>
                            </w:p>
                          </w:tc>
                        </w:tr>
                      </w:tbl>
                      <w:p w14:paraId="1B7F44E1" w14:textId="77777777" w:rsidR="00BC33F5" w:rsidRPr="00BC33F5" w:rsidRDefault="00BC33F5" w:rsidP="00BC33F5">
                        <w:pPr>
                          <w:spacing w:after="0" w:line="240" w:lineRule="auto"/>
                          <w:rPr>
                            <w:rFonts w:ascii="Times New Roman" w:eastAsia="Times New Roman" w:hAnsi="Times New Roman" w:cs="Times New Roman"/>
                            <w:kern w:val="0"/>
                            <w:sz w:val="20"/>
                            <w:szCs w:val="20"/>
                            <w:lang w:eastAsia="it-IT"/>
                            <w14:ligatures w14:val="none"/>
                          </w:rPr>
                        </w:pPr>
                      </w:p>
                    </w:tc>
                  </w:tr>
                </w:tbl>
                <w:p w14:paraId="27F42725" w14:textId="77777777" w:rsidR="00BC33F5" w:rsidRPr="00BC33F5" w:rsidRDefault="00BC33F5" w:rsidP="00BC33F5">
                  <w:pPr>
                    <w:spacing w:after="0" w:line="240" w:lineRule="auto"/>
                    <w:jc w:val="center"/>
                    <w:rPr>
                      <w:rFonts w:ascii="Times New Roman" w:eastAsia="Times New Roman" w:hAnsi="Times New Roman" w:cs="Times New Roman"/>
                      <w:kern w:val="0"/>
                      <w:sz w:val="20"/>
                      <w:szCs w:val="20"/>
                      <w:lang w:eastAsia="it-IT"/>
                      <w14:ligatures w14:val="none"/>
                    </w:rPr>
                  </w:pPr>
                </w:p>
              </w:tc>
            </w:tr>
            <w:tr w:rsidR="00BC33F5" w:rsidRPr="00BC33F5" w14:paraId="07B03556" w14:textId="77777777">
              <w:trPr>
                <w:jc w:val="center"/>
              </w:trPr>
              <w:tc>
                <w:tcPr>
                  <w:tcW w:w="0" w:type="auto"/>
                  <w:vAlign w:val="center"/>
                  <w:hideMark/>
                </w:tcPr>
                <w:p w14:paraId="60FA9197" w14:textId="77777777" w:rsidR="00BC33F5" w:rsidRPr="00BC33F5" w:rsidRDefault="00BC33F5" w:rsidP="00BC33F5">
                  <w:pPr>
                    <w:spacing w:after="0" w:line="15" w:lineRule="exact"/>
                    <w:rPr>
                      <w:rFonts w:ascii="Arial" w:eastAsia="Aptos" w:hAnsi="Arial" w:cs="Arial"/>
                      <w:color w:val="000000"/>
                      <w:kern w:val="0"/>
                      <w:sz w:val="21"/>
                      <w:szCs w:val="21"/>
                      <w:lang w:eastAsia="it-IT"/>
                      <w14:ligatures w14:val="none"/>
                    </w:rPr>
                  </w:pPr>
                  <w:r w:rsidRPr="00BC33F5">
                    <w:rPr>
                      <w:rFonts w:ascii="Arial" w:eastAsia="Aptos" w:hAnsi="Arial" w:cs="Arial"/>
                      <w:color w:val="000000"/>
                      <w:kern w:val="0"/>
                      <w:sz w:val="21"/>
                      <w:szCs w:val="21"/>
                      <w:lang w:eastAsia="it-IT"/>
                      <w14:ligatures w14:val="none"/>
                    </w:rPr>
                    <w:lastRenderedPageBreak/>
                    <w:t> </w:t>
                  </w:r>
                </w:p>
              </w:tc>
            </w:tr>
          </w:tbl>
          <w:p w14:paraId="0DFAD1CD" w14:textId="77777777" w:rsidR="00BC33F5" w:rsidRPr="00BC33F5" w:rsidRDefault="00BC33F5" w:rsidP="00BC33F5">
            <w:pPr>
              <w:spacing w:after="0" w:line="240" w:lineRule="auto"/>
              <w:jc w:val="center"/>
              <w:rPr>
                <w:rFonts w:ascii="Arial" w:eastAsia="Aptos" w:hAnsi="Arial" w:cs="Arial"/>
                <w:b/>
                <w:bCs/>
                <w:vanish/>
                <w:color w:val="000000"/>
                <w:kern w:val="0"/>
                <w:sz w:val="21"/>
                <w:szCs w:val="21"/>
                <w:lang w:eastAsia="it-IT"/>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BC33F5" w:rsidRPr="00BC33F5" w14:paraId="039816FC" w14:textId="77777777">
              <w:trPr>
                <w:tblCellSpacing w:w="0" w:type="dxa"/>
                <w:jc w:val="center"/>
              </w:trPr>
              <w:tc>
                <w:tcPr>
                  <w:tcW w:w="0" w:type="auto"/>
                  <w:vAlign w:val="center"/>
                  <w:hideMark/>
                </w:tcPr>
                <w:p w14:paraId="6A4F69BB" w14:textId="77777777" w:rsidR="00BC33F5" w:rsidRPr="00BC33F5" w:rsidRDefault="00BC33F5" w:rsidP="00BC33F5">
                  <w:pPr>
                    <w:spacing w:after="0" w:line="15" w:lineRule="exact"/>
                    <w:rPr>
                      <w:rFonts w:ascii="Arial" w:eastAsia="Aptos" w:hAnsi="Arial" w:cs="Arial"/>
                      <w:color w:val="000000"/>
                      <w:kern w:val="0"/>
                      <w:sz w:val="21"/>
                      <w:szCs w:val="21"/>
                      <w:lang w:eastAsia="it-IT"/>
                      <w14:ligatures w14:val="none"/>
                    </w:rPr>
                  </w:pPr>
                  <w:r w:rsidRPr="00BC33F5">
                    <w:rPr>
                      <w:rFonts w:ascii="Arial" w:eastAsia="Aptos" w:hAnsi="Arial" w:cs="Arial"/>
                      <w:color w:val="000000"/>
                      <w:kern w:val="0"/>
                      <w:sz w:val="21"/>
                      <w:szCs w:val="21"/>
                      <w:lang w:eastAsia="it-IT"/>
                      <w14:ligatures w14:val="none"/>
                    </w:rPr>
                    <w:t> </w:t>
                  </w:r>
                </w:p>
              </w:tc>
            </w:tr>
            <w:tr w:rsidR="00BC33F5" w:rsidRPr="00BC33F5" w14:paraId="3CBC2FFA" w14:textId="77777777">
              <w:trPr>
                <w:tblCellSpacing w:w="0" w:type="dxa"/>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BC33F5" w:rsidRPr="00BC33F5" w14:paraId="3917EB47" w14:textId="77777777">
                    <w:trPr>
                      <w:jc w:val="center"/>
                    </w:trPr>
                    <w:tc>
                      <w:tcPr>
                        <w:tcW w:w="8700" w:type="dxa"/>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BC33F5" w:rsidRPr="00BC33F5" w14:paraId="3E2A732A" w14:textId="77777777">
                          <w:trPr>
                            <w:tblCellSpacing w:w="0" w:type="dxa"/>
                          </w:trPr>
                          <w:tc>
                            <w:tcPr>
                              <w:tcW w:w="0" w:type="auto"/>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8400"/>
                              </w:tblGrid>
                              <w:tr w:rsidR="00BC33F5" w:rsidRPr="00BC33F5" w14:paraId="32EA4E91" w14:textId="77777777">
                                <w:trPr>
                                  <w:jc w:val="center"/>
                                </w:trPr>
                                <w:tc>
                                  <w:tcPr>
                                    <w:tcW w:w="8400" w:type="dxa"/>
                                    <w:hideMark/>
                                  </w:tcPr>
                                  <w:tbl>
                                    <w:tblPr>
                                      <w:tblW w:w="0" w:type="auto"/>
                                      <w:jc w:val="center"/>
                                      <w:tblCellMar>
                                        <w:left w:w="0" w:type="dxa"/>
                                        <w:right w:w="0" w:type="dxa"/>
                                      </w:tblCellMar>
                                      <w:tblLook w:val="04A0" w:firstRow="1" w:lastRow="0" w:firstColumn="1" w:lastColumn="0" w:noHBand="0" w:noVBand="1"/>
                                    </w:tblPr>
                                    <w:tblGrid>
                                      <w:gridCol w:w="6"/>
                                    </w:tblGrid>
                                    <w:tr w:rsidR="00BC33F5" w:rsidRPr="00BC33F5" w14:paraId="7E46FDC3" w14:textId="77777777">
                                      <w:trPr>
                                        <w:trHeight w:val="150"/>
                                        <w:jc w:val="center"/>
                                      </w:trPr>
                                      <w:tc>
                                        <w:tcPr>
                                          <w:tcW w:w="0" w:type="auto"/>
                                          <w:vAlign w:val="center"/>
                                          <w:hideMark/>
                                        </w:tcPr>
                                        <w:p w14:paraId="7CB6722C" w14:textId="77777777" w:rsidR="00BC33F5" w:rsidRPr="00BC33F5" w:rsidRDefault="00BC33F5" w:rsidP="00BC33F5">
                                          <w:pPr>
                                            <w:spacing w:after="0" w:line="15" w:lineRule="exact"/>
                                            <w:rPr>
                                              <w:rFonts w:ascii="Arial" w:eastAsia="Aptos" w:hAnsi="Arial" w:cs="Arial"/>
                                              <w:color w:val="000000"/>
                                              <w:kern w:val="0"/>
                                              <w:sz w:val="2"/>
                                              <w:szCs w:val="2"/>
                                              <w:lang w:eastAsia="it-IT"/>
                                              <w14:ligatures w14:val="none"/>
                                            </w:rPr>
                                          </w:pPr>
                                          <w:r w:rsidRPr="00BC33F5">
                                            <w:rPr>
                                              <w:rFonts w:ascii="Arial" w:eastAsia="Aptos" w:hAnsi="Arial" w:cs="Arial"/>
                                              <w:color w:val="000000"/>
                                              <w:kern w:val="0"/>
                                              <w:sz w:val="2"/>
                                              <w:szCs w:val="2"/>
                                              <w:lang w:eastAsia="it-IT"/>
                                              <w14:ligatures w14:val="none"/>
                                            </w:rPr>
                                            <w:t> </w:t>
                                          </w:r>
                                        </w:p>
                                      </w:tc>
                                    </w:tr>
                                    <w:tr w:rsidR="00BC33F5" w:rsidRPr="00BC33F5" w14:paraId="0F632F02" w14:textId="77777777">
                                      <w:trPr>
                                        <w:jc w:val="center"/>
                                      </w:trPr>
                                      <w:tc>
                                        <w:tcPr>
                                          <w:tcW w:w="0" w:type="auto"/>
                                          <w:vAlign w:val="center"/>
                                          <w:hideMark/>
                                        </w:tcPr>
                                        <w:tbl>
                                          <w:tblPr>
                                            <w:tblW w:w="0" w:type="auto"/>
                                            <w:tblCellMar>
                                              <w:left w:w="0" w:type="dxa"/>
                                              <w:right w:w="0" w:type="dxa"/>
                                            </w:tblCellMar>
                                            <w:tblLook w:val="04A0" w:firstRow="1" w:lastRow="0" w:firstColumn="1" w:lastColumn="0" w:noHBand="0" w:noVBand="1"/>
                                          </w:tblPr>
                                          <w:tblGrid>
                                            <w:gridCol w:w="6"/>
                                          </w:tblGrid>
                                          <w:tr w:rsidR="00BC33F5" w:rsidRPr="00BC33F5" w14:paraId="0FC84D17" w14:textId="77777777">
                                            <w:trPr>
                                              <w:trHeight w:val="360"/>
                                            </w:trPr>
                                            <w:tc>
                                              <w:tcPr>
                                                <w:tcW w:w="0" w:type="auto"/>
                                                <w:vAlign w:val="center"/>
                                                <w:hideMark/>
                                              </w:tcPr>
                                              <w:p w14:paraId="048224BE" w14:textId="77777777" w:rsidR="00BC33F5" w:rsidRPr="00BC33F5" w:rsidRDefault="00BC33F5" w:rsidP="00BC33F5">
                                                <w:pPr>
                                                  <w:spacing w:after="0" w:line="240" w:lineRule="auto"/>
                                                  <w:rPr>
                                                    <w:rFonts w:ascii="Arial" w:eastAsia="Aptos" w:hAnsi="Arial" w:cs="Arial"/>
                                                    <w:color w:val="000000"/>
                                                    <w:kern w:val="0"/>
                                                    <w:sz w:val="2"/>
                                                    <w:szCs w:val="2"/>
                                                    <w:lang w:eastAsia="it-IT"/>
                                                    <w14:ligatures w14:val="none"/>
                                                  </w:rPr>
                                                </w:pPr>
                                              </w:p>
                                            </w:tc>
                                          </w:tr>
                                        </w:tbl>
                                        <w:p w14:paraId="12422A73" w14:textId="77777777" w:rsidR="00BC33F5" w:rsidRPr="00BC33F5" w:rsidRDefault="00BC33F5" w:rsidP="00BC33F5">
                                          <w:pPr>
                                            <w:spacing w:after="0" w:line="240" w:lineRule="auto"/>
                                            <w:rPr>
                                              <w:rFonts w:ascii="Times New Roman" w:eastAsia="Times New Roman" w:hAnsi="Times New Roman" w:cs="Times New Roman"/>
                                              <w:kern w:val="0"/>
                                              <w:sz w:val="20"/>
                                              <w:szCs w:val="20"/>
                                              <w:lang w:eastAsia="it-IT"/>
                                              <w14:ligatures w14:val="none"/>
                                            </w:rPr>
                                          </w:pPr>
                                        </w:p>
                                      </w:tc>
                                    </w:tr>
                                    <w:tr w:rsidR="00BC33F5" w:rsidRPr="00BC33F5" w14:paraId="3E51CD31" w14:textId="77777777">
                                      <w:trPr>
                                        <w:trHeight w:val="150"/>
                                        <w:jc w:val="center"/>
                                      </w:trPr>
                                      <w:tc>
                                        <w:tcPr>
                                          <w:tcW w:w="0" w:type="auto"/>
                                          <w:vAlign w:val="center"/>
                                          <w:hideMark/>
                                        </w:tcPr>
                                        <w:p w14:paraId="6B0F202A" w14:textId="77777777" w:rsidR="00BC33F5" w:rsidRPr="00BC33F5" w:rsidRDefault="00BC33F5" w:rsidP="00BC33F5">
                                          <w:pPr>
                                            <w:spacing w:after="0" w:line="240" w:lineRule="auto"/>
                                            <w:rPr>
                                              <w:rFonts w:ascii="Times New Roman" w:eastAsia="Times New Roman" w:hAnsi="Times New Roman" w:cs="Times New Roman"/>
                                              <w:kern w:val="0"/>
                                              <w:sz w:val="20"/>
                                              <w:szCs w:val="20"/>
                                              <w:lang w:eastAsia="it-IT"/>
                                              <w14:ligatures w14:val="none"/>
                                            </w:rPr>
                                          </w:pPr>
                                        </w:p>
                                      </w:tc>
                                    </w:tr>
                                  </w:tbl>
                                  <w:p w14:paraId="633993DC" w14:textId="77777777" w:rsidR="00BC33F5" w:rsidRPr="00BC33F5" w:rsidRDefault="00BC33F5" w:rsidP="00BC33F5">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61D4DCE0" w14:textId="77777777" w:rsidR="00BC33F5" w:rsidRPr="00BC33F5" w:rsidRDefault="00BC33F5" w:rsidP="00BC33F5">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7D90DA69" w14:textId="77777777" w:rsidR="00BC33F5" w:rsidRPr="00BC33F5" w:rsidRDefault="00BC33F5" w:rsidP="00BC33F5">
                        <w:pPr>
                          <w:spacing w:after="0" w:line="240" w:lineRule="auto"/>
                          <w:rPr>
                            <w:rFonts w:ascii="Times New Roman" w:eastAsia="Times New Roman" w:hAnsi="Times New Roman" w:cs="Times New Roman"/>
                            <w:kern w:val="0"/>
                            <w:sz w:val="20"/>
                            <w:szCs w:val="20"/>
                            <w:lang w:eastAsia="it-IT"/>
                            <w14:ligatures w14:val="none"/>
                          </w:rPr>
                        </w:pPr>
                      </w:p>
                    </w:tc>
                  </w:tr>
                </w:tbl>
                <w:p w14:paraId="65A9C374" w14:textId="77777777" w:rsidR="00BC33F5" w:rsidRPr="00BC33F5" w:rsidRDefault="00BC33F5" w:rsidP="00BC33F5">
                  <w:pPr>
                    <w:spacing w:after="0" w:line="240" w:lineRule="auto"/>
                    <w:jc w:val="center"/>
                    <w:rPr>
                      <w:rFonts w:ascii="Times New Roman" w:eastAsia="Times New Roman" w:hAnsi="Times New Roman" w:cs="Times New Roman"/>
                      <w:kern w:val="0"/>
                      <w:sz w:val="20"/>
                      <w:szCs w:val="20"/>
                      <w:lang w:eastAsia="it-IT"/>
                      <w14:ligatures w14:val="none"/>
                    </w:rPr>
                  </w:pPr>
                </w:p>
              </w:tc>
            </w:tr>
            <w:tr w:rsidR="00BC33F5" w:rsidRPr="00BC33F5" w14:paraId="2439D6A3" w14:textId="77777777">
              <w:trPr>
                <w:tblCellSpacing w:w="0" w:type="dxa"/>
                <w:jc w:val="center"/>
              </w:trPr>
              <w:tc>
                <w:tcPr>
                  <w:tcW w:w="0" w:type="auto"/>
                  <w:vAlign w:val="center"/>
                  <w:hideMark/>
                </w:tcPr>
                <w:p w14:paraId="1A8966CF" w14:textId="77777777" w:rsidR="00BC33F5" w:rsidRPr="00BC33F5" w:rsidRDefault="00BC33F5" w:rsidP="00BC33F5">
                  <w:pPr>
                    <w:spacing w:after="0" w:line="15" w:lineRule="exact"/>
                    <w:rPr>
                      <w:rFonts w:ascii="Arial" w:eastAsia="Aptos" w:hAnsi="Arial" w:cs="Arial"/>
                      <w:color w:val="000000"/>
                      <w:kern w:val="0"/>
                      <w:sz w:val="21"/>
                      <w:szCs w:val="21"/>
                      <w:lang w:eastAsia="it-IT"/>
                      <w14:ligatures w14:val="none"/>
                    </w:rPr>
                  </w:pPr>
                  <w:r w:rsidRPr="00BC33F5">
                    <w:rPr>
                      <w:rFonts w:ascii="Arial" w:eastAsia="Aptos" w:hAnsi="Arial" w:cs="Arial"/>
                      <w:color w:val="000000"/>
                      <w:kern w:val="0"/>
                      <w:sz w:val="21"/>
                      <w:szCs w:val="21"/>
                      <w:lang w:eastAsia="it-IT"/>
                      <w14:ligatures w14:val="none"/>
                    </w:rPr>
                    <w:t> </w:t>
                  </w:r>
                </w:p>
              </w:tc>
            </w:tr>
          </w:tbl>
          <w:p w14:paraId="59EBF0F9" w14:textId="77777777" w:rsidR="00BC33F5" w:rsidRPr="00BC33F5" w:rsidRDefault="00BC33F5" w:rsidP="00BC33F5">
            <w:pPr>
              <w:spacing w:after="0" w:line="240" w:lineRule="auto"/>
              <w:jc w:val="center"/>
              <w:rPr>
                <w:rFonts w:ascii="Calibri" w:eastAsia="Aptos" w:hAnsi="Calibri" w:cs="Calibri"/>
                <w:kern w:val="0"/>
                <w:sz w:val="22"/>
                <w:szCs w:val="22"/>
                <w:lang w:eastAsia="it-IT"/>
                <w14:ligatures w14:val="none"/>
              </w:rPr>
            </w:pPr>
          </w:p>
        </w:tc>
      </w:tr>
    </w:tbl>
    <w:p w14:paraId="499B002B" w14:textId="04DA71F1" w:rsidR="00BC33F5" w:rsidRPr="00BC33F5" w:rsidRDefault="00BC33F5" w:rsidP="00BC33F5">
      <w:pPr>
        <w:spacing w:before="100" w:beforeAutospacing="1" w:after="100" w:afterAutospacing="1" w:line="240" w:lineRule="auto"/>
        <w:rPr>
          <w:rFonts w:ascii="Aptos" w:eastAsia="Aptos" w:hAnsi="Aptos" w:cs="Aptos"/>
          <w:kern w:val="0"/>
          <w:lang w:eastAsia="it-IT"/>
          <w14:ligatures w14:val="none"/>
        </w:rPr>
      </w:pPr>
      <w:r w:rsidRPr="00BC33F5">
        <w:rPr>
          <w:rFonts w:ascii="Aptos" w:eastAsia="Aptos" w:hAnsi="Aptos" w:cs="Aptos"/>
          <w:kern w:val="0"/>
          <w:lang w:eastAsia="it-IT"/>
          <w14:ligatures w14:val="none"/>
        </w:rPr>
        <w:lastRenderedPageBreak/>
        <w:t xml:space="preserve"> </w:t>
      </w:r>
    </w:p>
    <w:p w14:paraId="5A624E88" w14:textId="167271C9" w:rsidR="00BC33F5" w:rsidRPr="00BC33F5" w:rsidRDefault="00BC33F5" w:rsidP="00BC33F5">
      <w:pPr>
        <w:spacing w:after="0" w:line="240" w:lineRule="auto"/>
        <w:rPr>
          <w:rFonts w:ascii="Aptos" w:eastAsia="Aptos" w:hAnsi="Aptos" w:cs="Aptos"/>
          <w:kern w:val="0"/>
          <w:lang w:eastAsia="it-IT"/>
          <w14:ligatures w14:val="none"/>
        </w:rPr>
      </w:pPr>
    </w:p>
    <w:p w14:paraId="2B9D2EE2" w14:textId="77777777" w:rsidR="00A66C8C" w:rsidRDefault="00A66C8C"/>
    <w:sectPr w:rsidR="00A66C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imesNewRoman">
    <w:altName w:val="Times New Roman"/>
    <w:charset w:val="00"/>
    <w:family w:val="auto"/>
    <w:pitch w:val="default"/>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F5"/>
    <w:rsid w:val="00361246"/>
    <w:rsid w:val="00A66C8C"/>
    <w:rsid w:val="00BC3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D5D3"/>
  <w15:chartTrackingRefBased/>
  <w15:docId w15:val="{452576FB-9BD5-4BCA-9C94-D678D23E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C3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C3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C33F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C33F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C33F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C33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33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33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33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33F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C33F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C33F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C33F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C33F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C33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33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33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33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3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33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33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33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33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33F5"/>
    <w:rPr>
      <w:i/>
      <w:iCs/>
      <w:color w:val="404040" w:themeColor="text1" w:themeTint="BF"/>
    </w:rPr>
  </w:style>
  <w:style w:type="paragraph" w:styleId="Paragrafoelenco">
    <w:name w:val="List Paragraph"/>
    <w:basedOn w:val="Normale"/>
    <w:uiPriority w:val="34"/>
    <w:qFormat/>
    <w:rsid w:val="00BC33F5"/>
    <w:pPr>
      <w:ind w:left="720"/>
      <w:contextualSpacing/>
    </w:pPr>
  </w:style>
  <w:style w:type="character" w:styleId="Enfasiintensa">
    <w:name w:val="Intense Emphasis"/>
    <w:basedOn w:val="Carpredefinitoparagrafo"/>
    <w:uiPriority w:val="21"/>
    <w:qFormat/>
    <w:rsid w:val="00BC33F5"/>
    <w:rPr>
      <w:i/>
      <w:iCs/>
      <w:color w:val="0F4761" w:themeColor="accent1" w:themeShade="BF"/>
    </w:rPr>
  </w:style>
  <w:style w:type="paragraph" w:styleId="Citazioneintensa">
    <w:name w:val="Intense Quote"/>
    <w:basedOn w:val="Normale"/>
    <w:next w:val="Normale"/>
    <w:link w:val="CitazioneintensaCarattere"/>
    <w:uiPriority w:val="30"/>
    <w:qFormat/>
    <w:rsid w:val="00BC3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C33F5"/>
    <w:rPr>
      <w:i/>
      <w:iCs/>
      <w:color w:val="0F4761" w:themeColor="accent1" w:themeShade="BF"/>
    </w:rPr>
  </w:style>
  <w:style w:type="character" w:styleId="Riferimentointenso">
    <w:name w:val="Intense Reference"/>
    <w:basedOn w:val="Carpredefinitoparagrafo"/>
    <w:uiPriority w:val="32"/>
    <w:qFormat/>
    <w:rsid w:val="00BC3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sand.esvalabs.com/?u=https%3A%2F%2Fpublic-eur.mkt.dynamics.com%2Fapi%2Forgs%2F3f51909b-874e-ef11-8e4b-7c1e5212ca5b%2Fr%2FgfKwXKenxEaJBKTa-EYBAAEAAAA%3Fmsdynmkt_target%3D%257B%2522TargetUrl%2522%253A%2522https%25253A%25252F%25252Fexportraining.ice.it%25252Fofferta-formativa%25252Fformazione-imprese%25252Fcondizioni-contrattuali-fidic-e-opportunita-di-apertura-ai-mercati-esteri-la-conoscenza-dei-contratti-fidic-quale-competenza-fondamentale-pe%25252F%2522%252C%2522RedirectOptions%2522%253A%257B%25225%2522%253Anull%252C%25221%2522%253Anull%252C%25222%2522%253A%257B%2522utm_medium%2522%253A%2522email%2522%252C%2522utm_term%2522%253A%2522N%252FA%2522%252C%2522utm_source%2522%253A%2522Dynamics%2520Customer%2520Insights%2520Journey%2522%252C%2522utm_content%2522%253A%2522DEM%2520WEBINAR%2520FIDIC%252026%2520FEBB%2522%252C%2522utm_campaign%2522%253A%2522SN%253A%2520DEM%2520WEBINAR%2520FIDIC%252026%2520FEBB%2520bab99c%2522%257D%257D%257D%26msdynmkt_digest%3DdviaYnQ4eS9SuQjFHjEAJp4NnFq0tveuHW%252F6ZAw9HvY%253D%26msdynmkt_secretVersion%3D7bb221762d0c46939816d3a5592b1359&amp;e=cbfae827&amp;h=5f92a239&amp;f=y&amp;p=y" TargetMode="External"/><Relationship Id="rId4" Type="http://schemas.openxmlformats.org/officeDocument/2006/relationships/hyperlink" Target="https://urlsand.esvalabs.com/?u=https%3A%2F%2Fpublic-eur.mkt.dynamics.com%2Fapi%2Forgs%2F3f51909b-874e-ef11-8e4b-7c1e5212ca5b%2Fr%2FgfKwXKenxEaJBKTa-EYBAAAAAAA%3Fmsdynmkt_target%3D%257B%2522TargetUrl%2522%253A%2522mailto%25253Atenderlab%252540ice.it%2522%252C%2522RedirectOptions%2522%253A%257B%25225%2522%253Anull%252C%25221%2522%253Anull%252C%25222%2522%253A%257B%2522utm_medium%2522%253A%2522email%2522%252C%2522utm_term%2522%253A%2522N%252FA%2522%252C%2522utm_source%2522%253A%2522Dynamics%2520Customer%2520Insights%2520Journey%2522%252C%2522utm_content%2522%253A%2522DEM%2520WEBINAR%2520FIDIC%252026%2520FEBB%2522%252C%2522utm_campaign%2522%253A%2522SN%253A%2520DEM%2520WEBINAR%2520FIDIC%252026%2520FEBB%2520bab99c%2522%257D%257D%257D%26msdynmkt_digest%3DXvGaT%252B5XOownixH0lj%252FkqdP53y9AoFMVcQuB1yzbalA%253D%26msdynmkt_secretVersion%3D7bb221762d0c46939816d3a5592b1359&amp;e=cbfae827&amp;h=53204eab&amp;f=y&amp;p=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Caviglione Elena</dc:creator>
  <cp:keywords/>
  <dc:description/>
  <cp:lastModifiedBy>Caviglione Elena</cp:lastModifiedBy>
  <cp:revision>1</cp:revision>
  <dcterms:created xsi:type="dcterms:W3CDTF">2026-02-18T13:45:00Z</dcterms:created>
  <dcterms:modified xsi:type="dcterms:W3CDTF">2026-02-18T13:47:00Z</dcterms:modified>
</cp:coreProperties>
</file>